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DC085" w14:textId="11A5056E" w:rsidR="008A0A88" w:rsidRDefault="009D56C2" w:rsidP="008A0A88">
      <w:r>
        <w:t xml:space="preserve"> </w:t>
      </w:r>
      <w:r w:rsidR="008A0A88">
        <w:rPr>
          <w:noProof/>
          <w:lang w:val="en-NZ" w:eastAsia="en-NZ"/>
        </w:rPr>
        <w:drawing>
          <wp:inline distT="0" distB="0" distL="0" distR="0" wp14:anchorId="175E1A43" wp14:editId="102229E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77FB5A2" w14:textId="77777777" w:rsidR="008A0A88" w:rsidRDefault="008A0A88" w:rsidP="008A0A88"/>
    <w:p w14:paraId="796809D9" w14:textId="31B40BCD" w:rsidR="008A0A88" w:rsidRPr="005B7A73" w:rsidRDefault="008A0A88" w:rsidP="008A0A88">
      <w:pPr>
        <w:pStyle w:val="FSTitle"/>
        <w:rPr>
          <w:b/>
        </w:rPr>
      </w:pPr>
      <w:r w:rsidRPr="005B7A73">
        <w:rPr>
          <w:b/>
        </w:rPr>
        <w:t xml:space="preserve">Supporting document </w:t>
      </w:r>
      <w:r w:rsidR="00F44548" w:rsidRPr="00F44548">
        <w:rPr>
          <w:b/>
        </w:rPr>
        <w:t>1</w:t>
      </w:r>
    </w:p>
    <w:p w14:paraId="274ECFBB" w14:textId="77777777" w:rsidR="008A0A88" w:rsidRDefault="008A0A88" w:rsidP="008A0A88"/>
    <w:p w14:paraId="15840331" w14:textId="28D0E63F" w:rsidR="008A0A88" w:rsidRPr="008A0A88" w:rsidRDefault="001D2868" w:rsidP="008A0A88">
      <w:pPr>
        <w:pStyle w:val="FSTitle"/>
      </w:pPr>
      <w:r>
        <w:t>P</w:t>
      </w:r>
      <w:r w:rsidR="00E8473B">
        <w:t>otential</w:t>
      </w:r>
      <w:r w:rsidR="00AE3EB7">
        <w:t xml:space="preserve"> </w:t>
      </w:r>
      <w:r w:rsidR="00C72DC7">
        <w:t>i</w:t>
      </w:r>
      <w:r w:rsidR="00212D49">
        <w:t>mplications of Labelli</w:t>
      </w:r>
      <w:r w:rsidR="00551B99">
        <w:t>ng Review Recommendation 12</w:t>
      </w:r>
      <w:r w:rsidR="00F44548">
        <w:t xml:space="preserve"> for</w:t>
      </w:r>
      <w:r>
        <w:t xml:space="preserve"> the </w:t>
      </w:r>
      <w:r w:rsidR="001222C3" w:rsidRPr="001222C3">
        <w:rPr>
          <w:i/>
        </w:rPr>
        <w:t xml:space="preserve">Australia New Zealand Food Standards </w:t>
      </w:r>
      <w:r w:rsidR="00E8473B" w:rsidRPr="001222C3">
        <w:rPr>
          <w:i/>
        </w:rPr>
        <w:t>Code</w:t>
      </w:r>
    </w:p>
    <w:p w14:paraId="039D1F4C" w14:textId="77777777" w:rsidR="008A0A88" w:rsidRPr="00B37BF0" w:rsidRDefault="008A0A88" w:rsidP="008A0A88">
      <w:pPr>
        <w:pBdr>
          <w:bottom w:val="single" w:sz="12" w:space="1" w:color="auto"/>
        </w:pBdr>
        <w:spacing w:line="280" w:lineRule="exact"/>
        <w:rPr>
          <w:rFonts w:cs="Arial"/>
          <w:bCs/>
        </w:rPr>
      </w:pPr>
    </w:p>
    <w:p w14:paraId="3DC64F99" w14:textId="77777777" w:rsidR="008A0A88" w:rsidRPr="00B37BF0" w:rsidRDefault="008A0A88" w:rsidP="008A0A88"/>
    <w:p w14:paraId="7BE878C3" w14:textId="77777777" w:rsidR="008A0A88" w:rsidRPr="00092CDA" w:rsidRDefault="008A0A88" w:rsidP="008A0A88">
      <w:pPr>
        <w:pStyle w:val="Heading1"/>
      </w:pPr>
      <w:bookmarkStart w:id="0" w:name="_Toc286391001"/>
      <w:bookmarkStart w:id="1" w:name="_Toc300933414"/>
      <w:bookmarkStart w:id="2" w:name="_Toc451937477"/>
      <w:r w:rsidRPr="00092CDA">
        <w:t xml:space="preserve">Executive </w:t>
      </w:r>
      <w:r>
        <w:t>s</w:t>
      </w:r>
      <w:r w:rsidRPr="00092CDA">
        <w:t>ummary</w:t>
      </w:r>
      <w:bookmarkEnd w:id="0"/>
      <w:bookmarkEnd w:id="1"/>
      <w:bookmarkEnd w:id="2"/>
    </w:p>
    <w:p w14:paraId="4675D79D" w14:textId="43898273" w:rsidR="00A75430" w:rsidRDefault="00A75430" w:rsidP="00A75430">
      <w:r>
        <w:t xml:space="preserve">Recommendation 12 of the Labelling Logic report states </w:t>
      </w:r>
      <w:r w:rsidRPr="00007AD9">
        <w:rPr>
          <w:i/>
        </w:rPr>
        <w:t>that</w:t>
      </w:r>
      <w:r>
        <w:t xml:space="preserve"> </w:t>
      </w:r>
      <w:r w:rsidRPr="00007AD9">
        <w:rPr>
          <w:i/>
        </w:rPr>
        <w:t xml:space="preserve">where sugars, fats or vegetable oils are added as separate ingredients in </w:t>
      </w:r>
      <w:r w:rsidR="009F401D">
        <w:rPr>
          <w:i/>
        </w:rPr>
        <w:t xml:space="preserve">a </w:t>
      </w:r>
      <w:r w:rsidRPr="00007AD9">
        <w:rPr>
          <w:i/>
        </w:rPr>
        <w:t>food, the terms ‘added sugars’ and ‘added fats’ and/or ‘added vegetable oils’ be used in the ingredient list as the generic term, followed by a bracketed list (e.g., added sugars (fructose, glucose syrup, honey), added fats (palm oil, milk fat) or added vegetable oils (sunflower oil, palm</w:t>
      </w:r>
      <w:r>
        <w:rPr>
          <w:i/>
        </w:rPr>
        <w:t xml:space="preserve"> oil)). </w:t>
      </w:r>
    </w:p>
    <w:p w14:paraId="17568407" w14:textId="77777777" w:rsidR="00A75430" w:rsidRDefault="00A75430" w:rsidP="00A75430"/>
    <w:p w14:paraId="6A3A58EE" w14:textId="25282C07" w:rsidR="00ED25A7" w:rsidRDefault="009D1BEE" w:rsidP="00A75430">
      <w:r>
        <w:t>If</w:t>
      </w:r>
      <w:r w:rsidR="009945F9" w:rsidRPr="009945F9">
        <w:t xml:space="preserve"> this Recommendation </w:t>
      </w:r>
      <w:r>
        <w:t xml:space="preserve">was to </w:t>
      </w:r>
      <w:r w:rsidR="009945F9" w:rsidRPr="009945F9">
        <w:t xml:space="preserve">be </w:t>
      </w:r>
      <w:r w:rsidR="001F0417">
        <w:t>implemented</w:t>
      </w:r>
      <w:r w:rsidR="009945F9" w:rsidRPr="009945F9">
        <w:t xml:space="preserve">, </w:t>
      </w:r>
      <w:r>
        <w:t>the</w:t>
      </w:r>
      <w:r w:rsidR="009945F9" w:rsidRPr="009945F9">
        <w:t xml:space="preserve"> existing labelling requirements in the </w:t>
      </w:r>
      <w:r w:rsidR="00665E21" w:rsidRPr="00665E21">
        <w:rPr>
          <w:i/>
        </w:rPr>
        <w:t xml:space="preserve">Australia New Zealand Food Standards </w:t>
      </w:r>
      <w:r w:rsidR="009945F9" w:rsidRPr="00665E21">
        <w:rPr>
          <w:i/>
        </w:rPr>
        <w:t>Code</w:t>
      </w:r>
      <w:r w:rsidR="009945F9" w:rsidRPr="009945F9">
        <w:t xml:space="preserve"> </w:t>
      </w:r>
      <w:r w:rsidR="00665E21">
        <w:t xml:space="preserve">(the Code) </w:t>
      </w:r>
      <w:r w:rsidR="009945F9" w:rsidRPr="009945F9">
        <w:t xml:space="preserve">would </w:t>
      </w:r>
      <w:r>
        <w:t>need to be considered and/or amended</w:t>
      </w:r>
      <w:r w:rsidR="009945F9" w:rsidRPr="009945F9">
        <w:t xml:space="preserve">. </w:t>
      </w:r>
      <w:r w:rsidR="00A75430">
        <w:t xml:space="preserve">FSANZ has identified a number of potential implications and issues associated with Recommendation 12 and the existing labelling requirements in the Code. </w:t>
      </w:r>
      <w:r w:rsidR="00ED25A7" w:rsidRPr="00ED25A7">
        <w:t xml:space="preserve">Some of the issues identified are complex and </w:t>
      </w:r>
      <w:r w:rsidR="00025817">
        <w:t xml:space="preserve">would likely make the </w:t>
      </w:r>
      <w:r w:rsidR="00F4533E">
        <w:t>r</w:t>
      </w:r>
      <w:r w:rsidR="00025817">
        <w:t>ecommendation difficult to implement. A</w:t>
      </w:r>
      <w:r w:rsidR="00A34119">
        <w:t xml:space="preserve"> full assessment</w:t>
      </w:r>
      <w:r w:rsidR="00025817">
        <w:t xml:space="preserve"> of these issues would be required</w:t>
      </w:r>
      <w:r w:rsidR="00A34119">
        <w:t xml:space="preserve"> should a regulatory change to implement Recommendation 12 be considered. This assessment would </w:t>
      </w:r>
      <w:r w:rsidR="00E068D6">
        <w:t xml:space="preserve">need to </w:t>
      </w:r>
      <w:r w:rsidR="00A34119">
        <w:t xml:space="preserve">include consideration of the impacts on consumers, the food industry and enforcement authorities. </w:t>
      </w:r>
    </w:p>
    <w:p w14:paraId="525F82A2" w14:textId="1CBB6E2E" w:rsidR="00ED25A7" w:rsidRDefault="00ED25A7" w:rsidP="00A75430"/>
    <w:p w14:paraId="5F8D4B6C" w14:textId="5B72A057" w:rsidR="00A75430" w:rsidRDefault="00A75430" w:rsidP="00A75430">
      <w:r>
        <w:t>The main implications and issues identified are:</w:t>
      </w:r>
    </w:p>
    <w:p w14:paraId="4A936824" w14:textId="77777777" w:rsidR="00A75430" w:rsidRDefault="00A75430" w:rsidP="00A75430"/>
    <w:p w14:paraId="6517707F" w14:textId="7C2FFC25" w:rsidR="00D23717" w:rsidRDefault="008516F5" w:rsidP="00EC05DF">
      <w:pPr>
        <w:pStyle w:val="FSBullet1"/>
      </w:pPr>
      <w:r w:rsidRPr="008516F5">
        <w:t>The Code currently requires ingredients to be listed in descending order of ingoing weight</w:t>
      </w:r>
      <w:r w:rsidR="00D23717">
        <w:t xml:space="preserve">. A determination on how to order the </w:t>
      </w:r>
      <w:r w:rsidR="00D23717" w:rsidRPr="008516F5">
        <w:t>g</w:t>
      </w:r>
      <w:r w:rsidR="002573BB">
        <w:t xml:space="preserve">roups of added sugars, fats </w:t>
      </w:r>
      <w:r w:rsidR="00D23717" w:rsidRPr="008516F5">
        <w:t>or vegetable oils</w:t>
      </w:r>
      <w:r w:rsidR="00D23717">
        <w:t xml:space="preserve"> within the statement of ingredients, as well as how to order the individual added ingredients within those groups, would need to be made. This could</w:t>
      </w:r>
      <w:r w:rsidR="00AC1184">
        <w:t xml:space="preserve"> result in </w:t>
      </w:r>
      <w:r w:rsidR="00D23717">
        <w:t>change</w:t>
      </w:r>
      <w:r w:rsidR="00AC1184">
        <w:t>s to</w:t>
      </w:r>
      <w:r w:rsidR="00D23717">
        <w:t xml:space="preserve"> the existing order of the statement of ingredients for a food. The potential for this </w:t>
      </w:r>
      <w:r w:rsidR="00C262F0">
        <w:t xml:space="preserve">to </w:t>
      </w:r>
      <w:r w:rsidR="004E6F6B">
        <w:t>result</w:t>
      </w:r>
      <w:r w:rsidR="00D27028">
        <w:t xml:space="preserve"> in</w:t>
      </w:r>
      <w:r w:rsidR="00D23717">
        <w:t xml:space="preserve"> </w:t>
      </w:r>
      <w:r w:rsidR="00D23717" w:rsidRPr="00D23717">
        <w:t>misleading or confusing information for consumers</w:t>
      </w:r>
      <w:r w:rsidR="00D23717">
        <w:t xml:space="preserve"> would need to be assessed</w:t>
      </w:r>
      <w:r w:rsidR="00EC05DF">
        <w:t xml:space="preserve">. </w:t>
      </w:r>
    </w:p>
    <w:p w14:paraId="705A9D6F" w14:textId="77777777" w:rsidR="00D23717" w:rsidRDefault="00D23717" w:rsidP="00F0049A">
      <w:pPr>
        <w:pStyle w:val="FSBullet1"/>
        <w:numPr>
          <w:ilvl w:val="0"/>
          <w:numId w:val="0"/>
        </w:numPr>
      </w:pPr>
    </w:p>
    <w:p w14:paraId="1A44EA7A" w14:textId="77777777" w:rsidR="009A1292" w:rsidRDefault="00D23717" w:rsidP="00EC05DF">
      <w:pPr>
        <w:pStyle w:val="FSBullet1"/>
        <w:rPr>
          <w:lang w:val="en-AU"/>
        </w:rPr>
      </w:pPr>
      <w:r>
        <w:t>T</w:t>
      </w:r>
      <w:r w:rsidRPr="00D23717">
        <w:rPr>
          <w:lang w:val="en-AU"/>
        </w:rPr>
        <w:t>he Code currently provides two options for listing compound ingredients</w:t>
      </w:r>
      <w:r>
        <w:rPr>
          <w:lang w:val="en-AU"/>
        </w:rPr>
        <w:t xml:space="preserve"> (an ingredient which is itself made from two or more ingredients)</w:t>
      </w:r>
      <w:r w:rsidRPr="00D23717">
        <w:rPr>
          <w:lang w:val="en-AU"/>
        </w:rPr>
        <w:t>: by the compound ingredient name</w:t>
      </w:r>
      <w:r w:rsidR="00F0049A">
        <w:rPr>
          <w:lang w:val="en-AU"/>
        </w:rPr>
        <w:t xml:space="preserve"> (</w:t>
      </w:r>
      <w:r w:rsidR="00F0049A">
        <w:rPr>
          <w:color w:val="000000"/>
          <w:lang w:val="en-AU" w:eastAsia="en-AU"/>
        </w:rPr>
        <w:t>followed by a bracketed list of its ingredients)</w:t>
      </w:r>
      <w:r w:rsidRPr="00D23717">
        <w:rPr>
          <w:lang w:val="en-AU"/>
        </w:rPr>
        <w:t>; or by listing each ingredient of the compound ingredient individuall</w:t>
      </w:r>
      <w:r w:rsidR="00F0049A">
        <w:rPr>
          <w:lang w:val="en-AU"/>
        </w:rPr>
        <w:t>y</w:t>
      </w:r>
      <w:r w:rsidR="00EC05DF">
        <w:rPr>
          <w:lang w:val="en-AU"/>
        </w:rPr>
        <w:t xml:space="preserve"> as ingredients of the food</w:t>
      </w:r>
      <w:r w:rsidR="00CD56B2">
        <w:rPr>
          <w:lang w:val="en-AU"/>
        </w:rPr>
        <w:t xml:space="preserve"> for sale</w:t>
      </w:r>
      <w:r w:rsidRPr="00D23717">
        <w:rPr>
          <w:lang w:val="en-AU"/>
        </w:rPr>
        <w:t>.</w:t>
      </w:r>
      <w:r>
        <w:rPr>
          <w:lang w:val="en-AU"/>
        </w:rPr>
        <w:t xml:space="preserve"> </w:t>
      </w:r>
      <w:r w:rsidR="00F0049A">
        <w:rPr>
          <w:lang w:val="en-AU"/>
        </w:rPr>
        <w:t xml:space="preserve">Consideration would need to be given as to whether the added </w:t>
      </w:r>
      <w:r w:rsidR="00F0049A" w:rsidRPr="00F0049A">
        <w:rPr>
          <w:lang w:val="en-AU"/>
        </w:rPr>
        <w:t>sugars, fat or vegetable oil ingredients</w:t>
      </w:r>
      <w:r w:rsidR="00F0049A">
        <w:rPr>
          <w:lang w:val="en-AU"/>
        </w:rPr>
        <w:t xml:space="preserve"> in a compound ingredient could continue to be declared using either of these two options</w:t>
      </w:r>
      <w:r w:rsidR="00AC1184">
        <w:rPr>
          <w:lang w:val="en-AU"/>
        </w:rPr>
        <w:t>. A</w:t>
      </w:r>
      <w:r w:rsidR="00F0049A">
        <w:rPr>
          <w:lang w:val="en-AU"/>
        </w:rPr>
        <w:t>ssociated impacts</w:t>
      </w:r>
      <w:r w:rsidR="00AC1184" w:rsidRPr="00AC1184">
        <w:rPr>
          <w:lang w:val="en-AU"/>
        </w:rPr>
        <w:t xml:space="preserve"> </w:t>
      </w:r>
      <w:r w:rsidR="00AC1184">
        <w:rPr>
          <w:lang w:val="en-AU"/>
        </w:rPr>
        <w:t xml:space="preserve">would need to be assessed </w:t>
      </w:r>
      <w:r w:rsidR="00F0049A">
        <w:rPr>
          <w:lang w:val="en-AU"/>
        </w:rPr>
        <w:t xml:space="preserve">if changes were </w:t>
      </w:r>
      <w:r w:rsidR="00EC05DF">
        <w:rPr>
          <w:lang w:val="en-AU"/>
        </w:rPr>
        <w:t xml:space="preserve">to be </w:t>
      </w:r>
      <w:r w:rsidR="00F0049A">
        <w:rPr>
          <w:lang w:val="en-AU"/>
        </w:rPr>
        <w:t>made t</w:t>
      </w:r>
      <w:r w:rsidR="00EC05DF">
        <w:rPr>
          <w:lang w:val="en-AU"/>
        </w:rPr>
        <w:t>o these existing r</w:t>
      </w:r>
      <w:r w:rsidR="00413D40">
        <w:rPr>
          <w:lang w:val="en-AU"/>
        </w:rPr>
        <w:t>equirements. For example, if such</w:t>
      </w:r>
      <w:r w:rsidR="00EC05DF">
        <w:rPr>
          <w:lang w:val="en-AU"/>
        </w:rPr>
        <w:t xml:space="preserve"> ingredients of compound ingredients were required to be listed individually as ingredients of the food</w:t>
      </w:r>
      <w:r w:rsidR="00413D40">
        <w:rPr>
          <w:lang w:val="en-AU"/>
        </w:rPr>
        <w:t xml:space="preserve"> (i.e. the option of listing next to the compound ingredient name was not permitted)</w:t>
      </w:r>
      <w:r w:rsidR="00EC05DF">
        <w:rPr>
          <w:lang w:val="en-AU"/>
        </w:rPr>
        <w:t xml:space="preserve">, </w:t>
      </w:r>
      <w:r w:rsidR="00EC05DF" w:rsidRPr="00EC05DF">
        <w:rPr>
          <w:lang w:val="en-AU"/>
        </w:rPr>
        <w:t xml:space="preserve">the ingoing weight of each individual ingredient of a compound ingredient in the context of the food </w:t>
      </w:r>
      <w:r w:rsidR="00CD56B2">
        <w:rPr>
          <w:lang w:val="en-AU"/>
        </w:rPr>
        <w:t xml:space="preserve">for sale </w:t>
      </w:r>
      <w:r w:rsidR="00EC05DF" w:rsidRPr="00EC05DF">
        <w:rPr>
          <w:lang w:val="en-AU"/>
        </w:rPr>
        <w:t>would need to be determined by the</w:t>
      </w:r>
      <w:r w:rsidR="00CD56B2">
        <w:rPr>
          <w:lang w:val="en-AU"/>
        </w:rPr>
        <w:t xml:space="preserve"> food manufacturer at all times. </w:t>
      </w:r>
    </w:p>
    <w:p w14:paraId="2815EF8E" w14:textId="77777777" w:rsidR="009A1292" w:rsidRDefault="009A1292" w:rsidP="009A1292">
      <w:pPr>
        <w:rPr>
          <w:rFonts w:eastAsia="Times New Roman" w:cs="Arial"/>
          <w:szCs w:val="24"/>
          <w:lang w:val="en-AU"/>
        </w:rPr>
      </w:pPr>
      <w:r>
        <w:rPr>
          <w:lang w:val="en-AU"/>
        </w:rPr>
        <w:br w:type="page"/>
      </w:r>
    </w:p>
    <w:p w14:paraId="463B1CF8" w14:textId="0A2F9B35" w:rsidR="009945F9" w:rsidRDefault="00A75430" w:rsidP="00663003">
      <w:pPr>
        <w:pStyle w:val="FSBullet1"/>
      </w:pPr>
      <w:r>
        <w:lastRenderedPageBreak/>
        <w:t xml:space="preserve">A definition for </w:t>
      </w:r>
      <w:r w:rsidR="00413D40">
        <w:t>‘</w:t>
      </w:r>
      <w:r>
        <w:t>added sugars</w:t>
      </w:r>
      <w:r w:rsidR="00413D40">
        <w:t>’</w:t>
      </w:r>
      <w:r>
        <w:t xml:space="preserve"> would be required</w:t>
      </w:r>
      <w:r w:rsidR="00AC1184">
        <w:t xml:space="preserve"> to ensure consistent application of the ingredient labelling requirements</w:t>
      </w:r>
      <w:r>
        <w:t xml:space="preserve">. </w:t>
      </w:r>
      <w:r w:rsidR="00AC1184">
        <w:t xml:space="preserve">The definition could be influenced by or impact on the existing definitions relating to </w:t>
      </w:r>
      <w:r w:rsidR="00413D40">
        <w:t>‘</w:t>
      </w:r>
      <w:r w:rsidR="00AC1184">
        <w:t>sugars</w:t>
      </w:r>
      <w:r w:rsidR="00413D40">
        <w:t>’</w:t>
      </w:r>
      <w:r w:rsidR="00AC1184">
        <w:t xml:space="preserve"> in the Code and the existing conditions for nutrition content claims about sugar(s)</w:t>
      </w:r>
      <w:r w:rsidR="0085756A">
        <w:t>. For example, if a food label</w:t>
      </w:r>
      <w:r w:rsidR="0085756A" w:rsidRPr="00663003">
        <w:t xml:space="preserve"> included a ‘no added sugar’ claim but also provided a list of ‘added sugars’ in th</w:t>
      </w:r>
      <w:r w:rsidR="0085756A">
        <w:t xml:space="preserve">e statement of ingredients, </w:t>
      </w:r>
      <w:r w:rsidR="0085756A" w:rsidRPr="00663003">
        <w:t>this</w:t>
      </w:r>
      <w:r w:rsidR="0085756A">
        <w:t xml:space="preserve"> could lead to </w:t>
      </w:r>
      <w:r w:rsidR="0085756A" w:rsidRPr="00663003">
        <w:t>consumer confusion.</w:t>
      </w:r>
      <w:r w:rsidR="0085756A">
        <w:t xml:space="preserve"> </w:t>
      </w:r>
      <w:r w:rsidR="00AC1184">
        <w:t>The</w:t>
      </w:r>
      <w:r w:rsidR="009945F9">
        <w:t xml:space="preserve"> various definitions used</w:t>
      </w:r>
      <w:r>
        <w:t xml:space="preserve"> internationally</w:t>
      </w:r>
      <w:r w:rsidR="00AC1184" w:rsidRPr="00AC1184">
        <w:t xml:space="preserve"> </w:t>
      </w:r>
      <w:r w:rsidR="005B0804">
        <w:t xml:space="preserve">for ‘added sugars’ </w:t>
      </w:r>
      <w:r w:rsidR="00AC1184">
        <w:t xml:space="preserve">would also need to be taken into account. Definitions for </w:t>
      </w:r>
      <w:r w:rsidR="00413D40">
        <w:t>‘</w:t>
      </w:r>
      <w:r w:rsidR="00AC1184">
        <w:t>added fats</w:t>
      </w:r>
      <w:r w:rsidR="00413D40">
        <w:t>’</w:t>
      </w:r>
      <w:r w:rsidR="00AC1184">
        <w:t xml:space="preserve"> and/or </w:t>
      </w:r>
      <w:r w:rsidR="00413D40">
        <w:t xml:space="preserve">‘added </w:t>
      </w:r>
      <w:r w:rsidR="00AC1184">
        <w:t>vegetable oils</w:t>
      </w:r>
      <w:r w:rsidR="00413D40">
        <w:t>’</w:t>
      </w:r>
      <w:r w:rsidR="00AC1184">
        <w:t xml:space="preserve"> would also be required. </w:t>
      </w:r>
    </w:p>
    <w:p w14:paraId="41542365" w14:textId="3A4BAB78" w:rsidR="00962E41" w:rsidRDefault="00962E41" w:rsidP="00962E41"/>
    <w:p w14:paraId="30BB851B" w14:textId="514CC21F" w:rsidR="00962E41" w:rsidRDefault="00EC05DF" w:rsidP="00413D40">
      <w:pPr>
        <w:pStyle w:val="FSBullet1"/>
      </w:pPr>
      <w:r>
        <w:t xml:space="preserve">The implications of the ‘added sugars’ listed in the statement of ingredients in conjunction with the amount of total sugars declared in the nutrition information panel (which captures both naturally occurring and added sugars) would require </w:t>
      </w:r>
      <w:r w:rsidR="00076A54">
        <w:t xml:space="preserve">further </w:t>
      </w:r>
      <w:r w:rsidR="00413D40">
        <w:t xml:space="preserve">consideration. </w:t>
      </w:r>
      <w:r>
        <w:t>Similar</w:t>
      </w:r>
      <w:r w:rsidR="00076A54">
        <w:t>ly,</w:t>
      </w:r>
      <w:r>
        <w:t xml:space="preserve"> consideration would be necessary in relation to ‘added fats’ listed in the statement of ingredients and the declaration of total fat in the nutrition information panel, which captures both naturally occurring and added fats.</w:t>
      </w:r>
    </w:p>
    <w:p w14:paraId="18E3CA69" w14:textId="77777777" w:rsidR="00962E41" w:rsidRPr="00962E41" w:rsidRDefault="00962E41" w:rsidP="00962E41"/>
    <w:p w14:paraId="48E269C1" w14:textId="50E3A6E7" w:rsidR="005C7C79" w:rsidRDefault="005C7C79" w:rsidP="00C262F0">
      <w:pPr>
        <w:pStyle w:val="FSBullet1"/>
      </w:pPr>
      <w:r>
        <w:t>The Code currently provides permission to use certain generic names, including the generic name</w:t>
      </w:r>
      <w:r w:rsidR="00584853">
        <w:t xml:space="preserve"> </w:t>
      </w:r>
      <w:r>
        <w:t xml:space="preserve">‘vegetable </w:t>
      </w:r>
      <w:r w:rsidR="00076A54">
        <w:t>oil’;</w:t>
      </w:r>
      <w:r w:rsidR="00584853">
        <w:t xml:space="preserve"> </w:t>
      </w:r>
      <w:r>
        <w:t xml:space="preserve">however </w:t>
      </w:r>
      <w:r w:rsidRPr="005C7C79">
        <w:t xml:space="preserve">Recommendation 12 indicates that the specific source of added vegetable oils (e.g. sunflower oil) </w:t>
      </w:r>
      <w:r w:rsidR="00584853">
        <w:t>should be declared instead</w:t>
      </w:r>
      <w:r w:rsidR="007570BC">
        <w:t xml:space="preserve"> and grouped together in a bracketed list</w:t>
      </w:r>
      <w:r w:rsidR="00584853">
        <w:t xml:space="preserve">. In the </w:t>
      </w:r>
      <w:r w:rsidR="00542A93" w:rsidRPr="00542A93">
        <w:t xml:space="preserve">case where differing </w:t>
      </w:r>
      <w:r w:rsidR="009C004D">
        <w:t>ratio</w:t>
      </w:r>
      <w:r w:rsidR="00542A93" w:rsidRPr="00BA27E1">
        <w:t>s of</w:t>
      </w:r>
      <w:r w:rsidR="00542A93" w:rsidRPr="00542A93">
        <w:t xml:space="preserve"> vegetable oils are used </w:t>
      </w:r>
      <w:r w:rsidR="00542A93">
        <w:t>in different batches of the same</w:t>
      </w:r>
      <w:r w:rsidR="00542A93" w:rsidRPr="00542A93">
        <w:t xml:space="preserve"> food product (i.e. due to variances in supply and availability of vegetable oils</w:t>
      </w:r>
      <w:r w:rsidR="00542A93">
        <w:t>)</w:t>
      </w:r>
      <w:r w:rsidR="00BA27E1">
        <w:t>,</w:t>
      </w:r>
      <w:r w:rsidR="00542A93">
        <w:t xml:space="preserve"> </w:t>
      </w:r>
      <w:r w:rsidR="00C262F0" w:rsidRPr="00C262F0">
        <w:t xml:space="preserve">the </w:t>
      </w:r>
      <w:r w:rsidR="00C262F0">
        <w:t>ordering</w:t>
      </w:r>
      <w:r w:rsidR="00C262F0" w:rsidRPr="00C262F0">
        <w:t xml:space="preserve"> of the individual vegetable oils in the </w:t>
      </w:r>
      <w:r w:rsidR="00C27563">
        <w:t xml:space="preserve">‘added’ </w:t>
      </w:r>
      <w:r w:rsidR="00C262F0" w:rsidRPr="00C262F0">
        <w:t xml:space="preserve">bracketed list </w:t>
      </w:r>
      <w:r w:rsidR="00C262F0">
        <w:t>may change. This may</w:t>
      </w:r>
      <w:r w:rsidR="00C262F0" w:rsidRPr="00C262F0">
        <w:t xml:space="preserve"> trigger the need for different labels </w:t>
      </w:r>
      <w:r w:rsidR="00C262F0">
        <w:t xml:space="preserve">for different variations of what is essentially the same food. </w:t>
      </w:r>
      <w:r w:rsidR="00E20485" w:rsidRPr="0073345E">
        <w:t>Also, it is not known how consumers might perceive</w:t>
      </w:r>
      <w:r w:rsidR="00887C3B" w:rsidRPr="0073345E">
        <w:t xml:space="preserve"> the grouping of </w:t>
      </w:r>
      <w:r w:rsidR="007570BC" w:rsidRPr="0073345E">
        <w:t xml:space="preserve">individual </w:t>
      </w:r>
      <w:r w:rsidR="00A26A05" w:rsidRPr="0073345E">
        <w:t>fats/</w:t>
      </w:r>
      <w:r w:rsidR="00887C3B" w:rsidRPr="0073345E">
        <w:t xml:space="preserve">oils with different fatty acid profiles (e.g. saturated and polyunsaturated fatty acids) as </w:t>
      </w:r>
      <w:r w:rsidR="00E20485" w:rsidRPr="0073345E">
        <w:t>‘added fats/</w:t>
      </w:r>
      <w:r w:rsidR="004D08EA" w:rsidRPr="0073345E">
        <w:t xml:space="preserve">vegetable </w:t>
      </w:r>
      <w:r w:rsidR="00E20485" w:rsidRPr="0073345E">
        <w:t>oils</w:t>
      </w:r>
      <w:r w:rsidR="00887C3B" w:rsidRPr="0073345E">
        <w:t>’</w:t>
      </w:r>
      <w:r w:rsidR="00E20485" w:rsidRPr="0073345E">
        <w:t>.</w:t>
      </w:r>
      <w:r w:rsidR="00E20485">
        <w:t xml:space="preserve"> </w:t>
      </w:r>
      <w:r w:rsidR="00C262F0">
        <w:t>A</w:t>
      </w:r>
      <w:r w:rsidR="00584853" w:rsidRPr="00584853">
        <w:t xml:space="preserve">lternative ingredients could </w:t>
      </w:r>
      <w:r w:rsidR="00E20485">
        <w:t xml:space="preserve">also </w:t>
      </w:r>
      <w:r w:rsidR="00584853" w:rsidRPr="00584853">
        <w:t>be listed in the ‘added’ bracketed lists, e.g. ‘added vegetable oils (sunflower oil or canola oil)’</w:t>
      </w:r>
      <w:r w:rsidR="00C262F0">
        <w:t xml:space="preserve"> however t</w:t>
      </w:r>
      <w:r w:rsidR="00584853" w:rsidRPr="00584853">
        <w:t>he implications of this approach, such as the potential to increase the length of the statement of ingredients</w:t>
      </w:r>
      <w:r w:rsidR="009D56C2">
        <w:t xml:space="preserve"> </w:t>
      </w:r>
      <w:r w:rsidR="00C87B64">
        <w:t>would need to be investigated</w:t>
      </w:r>
      <w:r w:rsidR="00584853" w:rsidRPr="00584853">
        <w:t>.</w:t>
      </w:r>
      <w:r w:rsidR="00584853">
        <w:t xml:space="preserve"> There may be similar implications for the use of other generic names that are currently permitted, such as ‘sugar’ and ‘milk solids’ (which can include milk fat). </w:t>
      </w:r>
    </w:p>
    <w:p w14:paraId="459A7EA2" w14:textId="6F71C5E7" w:rsidR="00E20485" w:rsidRDefault="00E20485" w:rsidP="00E20485"/>
    <w:p w14:paraId="7270533E" w14:textId="77777777" w:rsidR="00516FA7" w:rsidRDefault="00516FA7" w:rsidP="0093651E">
      <w:pPr>
        <w:sectPr w:rsidR="00516FA7" w:rsidSect="00FE7396">
          <w:footerReference w:type="even" r:id="rId16"/>
          <w:footerReference w:type="default" r:id="rId17"/>
          <w:type w:val="continuous"/>
          <w:pgSz w:w="11906" w:h="16838"/>
          <w:pgMar w:top="1418" w:right="1418" w:bottom="1418" w:left="1418" w:header="709" w:footer="709" w:gutter="0"/>
          <w:pgNumType w:fmt="lowerRoman" w:start="1"/>
          <w:cols w:space="708"/>
          <w:titlePg/>
          <w:docGrid w:linePitch="360"/>
        </w:sectPr>
      </w:pPr>
    </w:p>
    <w:p w14:paraId="11FE79C2" w14:textId="2600D8D5" w:rsidR="008A0A88" w:rsidRPr="00352CF2" w:rsidRDefault="008A0A88" w:rsidP="008A0A88">
      <w:pPr>
        <w:jc w:val="center"/>
        <w:rPr>
          <w:b/>
          <w:sz w:val="28"/>
          <w:szCs w:val="28"/>
        </w:rPr>
      </w:pPr>
      <w:r w:rsidRPr="00352CF2">
        <w:rPr>
          <w:b/>
          <w:sz w:val="28"/>
          <w:szCs w:val="28"/>
        </w:rPr>
        <w:lastRenderedPageBreak/>
        <w:t>Table of Contents</w:t>
      </w:r>
    </w:p>
    <w:p w14:paraId="6A91C1EB" w14:textId="77777777" w:rsidR="008A0A88" w:rsidRDefault="008A0A88" w:rsidP="008A0A88"/>
    <w:p w14:paraId="216CC3CB" w14:textId="77777777" w:rsidR="004E373B" w:rsidRDefault="0044114A">
      <w:pPr>
        <w:pStyle w:val="TOC1"/>
        <w:tabs>
          <w:tab w:val="right" w:leader="dot" w:pos="9060"/>
        </w:tabs>
        <w:rPr>
          <w:rFonts w:asciiTheme="minorHAnsi" w:eastAsiaTheme="minorEastAsia" w:hAnsiTheme="minorHAnsi"/>
          <w:b w:val="0"/>
          <w:bCs w:val="0"/>
          <w:caps w:val="0"/>
          <w:noProof/>
          <w:szCs w:val="22"/>
          <w:lang w:val="en-NZ" w:eastAsia="en-NZ"/>
        </w:rPr>
      </w:pPr>
      <w:r>
        <w:fldChar w:fldCharType="begin"/>
      </w:r>
      <w:r>
        <w:instrText xml:space="preserve"> TOC \o "1-2" \h \z \u </w:instrText>
      </w:r>
      <w:r>
        <w:fldChar w:fldCharType="separate"/>
      </w:r>
      <w:hyperlink w:anchor="_Toc451937477" w:history="1">
        <w:r w:rsidR="004E373B" w:rsidRPr="00B64E81">
          <w:rPr>
            <w:rStyle w:val="Hyperlink"/>
            <w:noProof/>
          </w:rPr>
          <w:t>Executive summary</w:t>
        </w:r>
        <w:r w:rsidR="004E373B">
          <w:rPr>
            <w:noProof/>
            <w:webHidden/>
          </w:rPr>
          <w:tab/>
        </w:r>
        <w:r w:rsidR="004E373B">
          <w:rPr>
            <w:noProof/>
            <w:webHidden/>
          </w:rPr>
          <w:fldChar w:fldCharType="begin"/>
        </w:r>
        <w:r w:rsidR="004E373B">
          <w:rPr>
            <w:noProof/>
            <w:webHidden/>
          </w:rPr>
          <w:instrText xml:space="preserve"> PAGEREF _Toc451937477 \h </w:instrText>
        </w:r>
        <w:r w:rsidR="004E373B">
          <w:rPr>
            <w:noProof/>
            <w:webHidden/>
          </w:rPr>
        </w:r>
        <w:r w:rsidR="004E373B">
          <w:rPr>
            <w:noProof/>
            <w:webHidden/>
          </w:rPr>
          <w:fldChar w:fldCharType="separate"/>
        </w:r>
        <w:r w:rsidR="003525E2">
          <w:rPr>
            <w:noProof/>
            <w:webHidden/>
          </w:rPr>
          <w:t>i</w:t>
        </w:r>
        <w:r w:rsidR="004E373B">
          <w:rPr>
            <w:noProof/>
            <w:webHidden/>
          </w:rPr>
          <w:fldChar w:fldCharType="end"/>
        </w:r>
      </w:hyperlink>
    </w:p>
    <w:p w14:paraId="64A003EF" w14:textId="77777777" w:rsidR="004E373B" w:rsidRDefault="00CA2F19">
      <w:pPr>
        <w:pStyle w:val="TOC1"/>
        <w:tabs>
          <w:tab w:val="left" w:pos="788"/>
          <w:tab w:val="right" w:leader="dot" w:pos="9060"/>
        </w:tabs>
        <w:rPr>
          <w:rFonts w:asciiTheme="minorHAnsi" w:eastAsiaTheme="minorEastAsia" w:hAnsiTheme="minorHAnsi"/>
          <w:b w:val="0"/>
          <w:bCs w:val="0"/>
          <w:caps w:val="0"/>
          <w:noProof/>
          <w:szCs w:val="22"/>
          <w:lang w:val="en-NZ" w:eastAsia="en-NZ"/>
        </w:rPr>
      </w:pPr>
      <w:hyperlink w:anchor="_Toc451937478" w:history="1">
        <w:r w:rsidR="004E373B" w:rsidRPr="00B64E81">
          <w:rPr>
            <w:rStyle w:val="Hyperlink"/>
            <w:noProof/>
          </w:rPr>
          <w:t>1</w:t>
        </w:r>
        <w:r w:rsidR="004E373B">
          <w:rPr>
            <w:rFonts w:asciiTheme="minorHAnsi" w:eastAsiaTheme="minorEastAsia" w:hAnsiTheme="minorHAnsi"/>
            <w:b w:val="0"/>
            <w:bCs w:val="0"/>
            <w:caps w:val="0"/>
            <w:noProof/>
            <w:szCs w:val="22"/>
            <w:lang w:val="en-NZ" w:eastAsia="en-NZ"/>
          </w:rPr>
          <w:tab/>
        </w:r>
        <w:r w:rsidR="004E373B" w:rsidRPr="00B64E81">
          <w:rPr>
            <w:rStyle w:val="Hyperlink"/>
            <w:noProof/>
          </w:rPr>
          <w:t>Purpose</w:t>
        </w:r>
        <w:r w:rsidR="004E373B">
          <w:rPr>
            <w:noProof/>
            <w:webHidden/>
          </w:rPr>
          <w:tab/>
        </w:r>
        <w:r w:rsidR="004E373B">
          <w:rPr>
            <w:noProof/>
            <w:webHidden/>
          </w:rPr>
          <w:fldChar w:fldCharType="begin"/>
        </w:r>
        <w:r w:rsidR="004E373B">
          <w:rPr>
            <w:noProof/>
            <w:webHidden/>
          </w:rPr>
          <w:instrText xml:space="preserve"> PAGEREF _Toc451937478 \h </w:instrText>
        </w:r>
        <w:r w:rsidR="004E373B">
          <w:rPr>
            <w:noProof/>
            <w:webHidden/>
          </w:rPr>
        </w:r>
        <w:r w:rsidR="004E373B">
          <w:rPr>
            <w:noProof/>
            <w:webHidden/>
          </w:rPr>
          <w:fldChar w:fldCharType="separate"/>
        </w:r>
        <w:r w:rsidR="003525E2">
          <w:rPr>
            <w:noProof/>
            <w:webHidden/>
          </w:rPr>
          <w:t>2</w:t>
        </w:r>
        <w:r w:rsidR="004E373B">
          <w:rPr>
            <w:noProof/>
            <w:webHidden/>
          </w:rPr>
          <w:fldChar w:fldCharType="end"/>
        </w:r>
      </w:hyperlink>
    </w:p>
    <w:p w14:paraId="69C3C2B6" w14:textId="77777777" w:rsidR="004E373B" w:rsidRDefault="00CA2F19">
      <w:pPr>
        <w:pStyle w:val="TOC1"/>
        <w:tabs>
          <w:tab w:val="left" w:pos="788"/>
          <w:tab w:val="right" w:leader="dot" w:pos="9060"/>
        </w:tabs>
        <w:rPr>
          <w:rFonts w:asciiTheme="minorHAnsi" w:eastAsiaTheme="minorEastAsia" w:hAnsiTheme="minorHAnsi"/>
          <w:b w:val="0"/>
          <w:bCs w:val="0"/>
          <w:caps w:val="0"/>
          <w:noProof/>
          <w:szCs w:val="22"/>
          <w:lang w:val="en-NZ" w:eastAsia="en-NZ"/>
        </w:rPr>
      </w:pPr>
      <w:hyperlink w:anchor="_Toc451937479" w:history="1">
        <w:r w:rsidR="004E373B" w:rsidRPr="00B64E81">
          <w:rPr>
            <w:rStyle w:val="Hyperlink"/>
            <w:noProof/>
          </w:rPr>
          <w:t>2</w:t>
        </w:r>
        <w:r w:rsidR="004E373B">
          <w:rPr>
            <w:rFonts w:asciiTheme="minorHAnsi" w:eastAsiaTheme="minorEastAsia" w:hAnsiTheme="minorHAnsi"/>
            <w:b w:val="0"/>
            <w:bCs w:val="0"/>
            <w:caps w:val="0"/>
            <w:noProof/>
            <w:szCs w:val="22"/>
            <w:lang w:val="en-NZ" w:eastAsia="en-NZ"/>
          </w:rPr>
          <w:tab/>
        </w:r>
        <w:r w:rsidR="004E373B" w:rsidRPr="00B64E81">
          <w:rPr>
            <w:rStyle w:val="Hyperlink"/>
            <w:noProof/>
          </w:rPr>
          <w:t>Potential implications of Recommendation 12 on the Code</w:t>
        </w:r>
        <w:r w:rsidR="004E373B">
          <w:rPr>
            <w:noProof/>
            <w:webHidden/>
          </w:rPr>
          <w:tab/>
        </w:r>
        <w:r w:rsidR="004E373B">
          <w:rPr>
            <w:noProof/>
            <w:webHidden/>
          </w:rPr>
          <w:fldChar w:fldCharType="begin"/>
        </w:r>
        <w:r w:rsidR="004E373B">
          <w:rPr>
            <w:noProof/>
            <w:webHidden/>
          </w:rPr>
          <w:instrText xml:space="preserve"> PAGEREF _Toc451937479 \h </w:instrText>
        </w:r>
        <w:r w:rsidR="004E373B">
          <w:rPr>
            <w:noProof/>
            <w:webHidden/>
          </w:rPr>
        </w:r>
        <w:r w:rsidR="004E373B">
          <w:rPr>
            <w:noProof/>
            <w:webHidden/>
          </w:rPr>
          <w:fldChar w:fldCharType="separate"/>
        </w:r>
        <w:r w:rsidR="003525E2">
          <w:rPr>
            <w:noProof/>
            <w:webHidden/>
          </w:rPr>
          <w:t>2</w:t>
        </w:r>
        <w:r w:rsidR="004E373B">
          <w:rPr>
            <w:noProof/>
            <w:webHidden/>
          </w:rPr>
          <w:fldChar w:fldCharType="end"/>
        </w:r>
      </w:hyperlink>
    </w:p>
    <w:p w14:paraId="1611A69F" w14:textId="77777777" w:rsidR="004E373B" w:rsidRDefault="00CA2F19">
      <w:pPr>
        <w:pStyle w:val="TOC2"/>
        <w:tabs>
          <w:tab w:val="left" w:pos="880"/>
          <w:tab w:val="right" w:leader="dot" w:pos="9060"/>
        </w:tabs>
        <w:rPr>
          <w:rFonts w:asciiTheme="minorHAnsi" w:eastAsiaTheme="minorEastAsia" w:hAnsiTheme="minorHAnsi"/>
          <w:smallCaps w:val="0"/>
          <w:noProof/>
          <w:szCs w:val="22"/>
          <w:lang w:val="en-NZ" w:eastAsia="en-NZ"/>
        </w:rPr>
      </w:pPr>
      <w:hyperlink w:anchor="_Toc451937480" w:history="1">
        <w:r w:rsidR="004E373B" w:rsidRPr="00B64E81">
          <w:rPr>
            <w:rStyle w:val="Hyperlink"/>
            <w:noProof/>
          </w:rPr>
          <w:t xml:space="preserve">2.1 </w:t>
        </w:r>
        <w:r w:rsidR="004E373B">
          <w:rPr>
            <w:rFonts w:asciiTheme="minorHAnsi" w:eastAsiaTheme="minorEastAsia" w:hAnsiTheme="minorHAnsi"/>
            <w:smallCaps w:val="0"/>
            <w:noProof/>
            <w:szCs w:val="22"/>
            <w:lang w:val="en-NZ" w:eastAsia="en-NZ"/>
          </w:rPr>
          <w:tab/>
        </w:r>
        <w:r w:rsidR="004E373B" w:rsidRPr="00B64E81">
          <w:rPr>
            <w:rStyle w:val="Hyperlink"/>
            <w:noProof/>
          </w:rPr>
          <w:t>Order of ingredients</w:t>
        </w:r>
        <w:r w:rsidR="004E373B">
          <w:rPr>
            <w:noProof/>
            <w:webHidden/>
          </w:rPr>
          <w:tab/>
        </w:r>
        <w:r w:rsidR="004E373B">
          <w:rPr>
            <w:noProof/>
            <w:webHidden/>
          </w:rPr>
          <w:fldChar w:fldCharType="begin"/>
        </w:r>
        <w:r w:rsidR="004E373B">
          <w:rPr>
            <w:noProof/>
            <w:webHidden/>
          </w:rPr>
          <w:instrText xml:space="preserve"> PAGEREF _Toc451937480 \h </w:instrText>
        </w:r>
        <w:r w:rsidR="004E373B">
          <w:rPr>
            <w:noProof/>
            <w:webHidden/>
          </w:rPr>
        </w:r>
        <w:r w:rsidR="004E373B">
          <w:rPr>
            <w:noProof/>
            <w:webHidden/>
          </w:rPr>
          <w:fldChar w:fldCharType="separate"/>
        </w:r>
        <w:r w:rsidR="003525E2">
          <w:rPr>
            <w:noProof/>
            <w:webHidden/>
          </w:rPr>
          <w:t>3</w:t>
        </w:r>
        <w:r w:rsidR="004E373B">
          <w:rPr>
            <w:noProof/>
            <w:webHidden/>
          </w:rPr>
          <w:fldChar w:fldCharType="end"/>
        </w:r>
      </w:hyperlink>
    </w:p>
    <w:p w14:paraId="3E31E7D2" w14:textId="77777777" w:rsidR="004E373B" w:rsidRDefault="00CA2F19">
      <w:pPr>
        <w:pStyle w:val="TOC2"/>
        <w:tabs>
          <w:tab w:val="left" w:pos="880"/>
          <w:tab w:val="right" w:leader="dot" w:pos="9060"/>
        </w:tabs>
        <w:rPr>
          <w:rFonts w:asciiTheme="minorHAnsi" w:eastAsiaTheme="minorEastAsia" w:hAnsiTheme="minorHAnsi"/>
          <w:smallCaps w:val="0"/>
          <w:noProof/>
          <w:szCs w:val="22"/>
          <w:lang w:val="en-NZ" w:eastAsia="en-NZ"/>
        </w:rPr>
      </w:pPr>
      <w:hyperlink w:anchor="_Toc451937481" w:history="1">
        <w:r w:rsidR="004E373B" w:rsidRPr="00B64E81">
          <w:rPr>
            <w:rStyle w:val="Hyperlink"/>
            <w:noProof/>
          </w:rPr>
          <w:t xml:space="preserve">2.2 </w:t>
        </w:r>
        <w:r w:rsidR="004E373B">
          <w:rPr>
            <w:rFonts w:asciiTheme="minorHAnsi" w:eastAsiaTheme="minorEastAsia" w:hAnsiTheme="minorHAnsi"/>
            <w:smallCaps w:val="0"/>
            <w:noProof/>
            <w:szCs w:val="22"/>
            <w:lang w:val="en-NZ" w:eastAsia="en-NZ"/>
          </w:rPr>
          <w:tab/>
        </w:r>
        <w:r w:rsidR="004E373B" w:rsidRPr="00B64E81">
          <w:rPr>
            <w:rStyle w:val="Hyperlink"/>
            <w:noProof/>
          </w:rPr>
          <w:t>Compound ingredients</w:t>
        </w:r>
        <w:r w:rsidR="004E373B">
          <w:rPr>
            <w:noProof/>
            <w:webHidden/>
          </w:rPr>
          <w:tab/>
        </w:r>
        <w:r w:rsidR="004E373B">
          <w:rPr>
            <w:noProof/>
            <w:webHidden/>
          </w:rPr>
          <w:fldChar w:fldCharType="begin"/>
        </w:r>
        <w:r w:rsidR="004E373B">
          <w:rPr>
            <w:noProof/>
            <w:webHidden/>
          </w:rPr>
          <w:instrText xml:space="preserve"> PAGEREF _Toc451937481 \h </w:instrText>
        </w:r>
        <w:r w:rsidR="004E373B">
          <w:rPr>
            <w:noProof/>
            <w:webHidden/>
          </w:rPr>
        </w:r>
        <w:r w:rsidR="004E373B">
          <w:rPr>
            <w:noProof/>
            <w:webHidden/>
          </w:rPr>
          <w:fldChar w:fldCharType="separate"/>
        </w:r>
        <w:r w:rsidR="003525E2">
          <w:rPr>
            <w:noProof/>
            <w:webHidden/>
          </w:rPr>
          <w:t>3</w:t>
        </w:r>
        <w:r w:rsidR="004E373B">
          <w:rPr>
            <w:noProof/>
            <w:webHidden/>
          </w:rPr>
          <w:fldChar w:fldCharType="end"/>
        </w:r>
      </w:hyperlink>
    </w:p>
    <w:p w14:paraId="1B9736C3" w14:textId="77777777" w:rsidR="004E373B" w:rsidRDefault="00CA2F19">
      <w:pPr>
        <w:pStyle w:val="TOC2"/>
        <w:tabs>
          <w:tab w:val="left" w:pos="880"/>
          <w:tab w:val="right" w:leader="dot" w:pos="9060"/>
        </w:tabs>
        <w:rPr>
          <w:rFonts w:asciiTheme="minorHAnsi" w:eastAsiaTheme="minorEastAsia" w:hAnsiTheme="minorHAnsi"/>
          <w:smallCaps w:val="0"/>
          <w:noProof/>
          <w:szCs w:val="22"/>
          <w:lang w:val="en-NZ" w:eastAsia="en-NZ"/>
        </w:rPr>
      </w:pPr>
      <w:hyperlink w:anchor="_Toc451937482" w:history="1">
        <w:r w:rsidR="004E373B" w:rsidRPr="00B64E81">
          <w:rPr>
            <w:rStyle w:val="Hyperlink"/>
            <w:noProof/>
          </w:rPr>
          <w:t xml:space="preserve">2.3 </w:t>
        </w:r>
        <w:r w:rsidR="004E373B">
          <w:rPr>
            <w:rFonts w:asciiTheme="minorHAnsi" w:eastAsiaTheme="minorEastAsia" w:hAnsiTheme="minorHAnsi"/>
            <w:smallCaps w:val="0"/>
            <w:noProof/>
            <w:szCs w:val="22"/>
            <w:lang w:val="en-NZ" w:eastAsia="en-NZ"/>
          </w:rPr>
          <w:tab/>
        </w:r>
        <w:r w:rsidR="004E373B" w:rsidRPr="00B64E81">
          <w:rPr>
            <w:rStyle w:val="Hyperlink"/>
            <w:noProof/>
          </w:rPr>
          <w:t>Added sugars definition</w:t>
        </w:r>
        <w:r w:rsidR="004E373B">
          <w:rPr>
            <w:noProof/>
            <w:webHidden/>
          </w:rPr>
          <w:tab/>
        </w:r>
        <w:r w:rsidR="004E373B">
          <w:rPr>
            <w:noProof/>
            <w:webHidden/>
          </w:rPr>
          <w:fldChar w:fldCharType="begin"/>
        </w:r>
        <w:r w:rsidR="004E373B">
          <w:rPr>
            <w:noProof/>
            <w:webHidden/>
          </w:rPr>
          <w:instrText xml:space="preserve"> PAGEREF _Toc451937482 \h </w:instrText>
        </w:r>
        <w:r w:rsidR="004E373B">
          <w:rPr>
            <w:noProof/>
            <w:webHidden/>
          </w:rPr>
        </w:r>
        <w:r w:rsidR="004E373B">
          <w:rPr>
            <w:noProof/>
            <w:webHidden/>
          </w:rPr>
          <w:fldChar w:fldCharType="separate"/>
        </w:r>
        <w:r w:rsidR="003525E2">
          <w:rPr>
            <w:noProof/>
            <w:webHidden/>
          </w:rPr>
          <w:t>4</w:t>
        </w:r>
        <w:r w:rsidR="004E373B">
          <w:rPr>
            <w:noProof/>
            <w:webHidden/>
          </w:rPr>
          <w:fldChar w:fldCharType="end"/>
        </w:r>
      </w:hyperlink>
    </w:p>
    <w:p w14:paraId="131C97A8" w14:textId="77777777" w:rsidR="004E373B" w:rsidRDefault="00CA2F19">
      <w:pPr>
        <w:pStyle w:val="TOC2"/>
        <w:tabs>
          <w:tab w:val="right" w:leader="dot" w:pos="9060"/>
        </w:tabs>
        <w:rPr>
          <w:rFonts w:asciiTheme="minorHAnsi" w:eastAsiaTheme="minorEastAsia" w:hAnsiTheme="minorHAnsi"/>
          <w:smallCaps w:val="0"/>
          <w:noProof/>
          <w:szCs w:val="22"/>
          <w:lang w:val="en-NZ" w:eastAsia="en-NZ"/>
        </w:rPr>
      </w:pPr>
      <w:hyperlink w:anchor="_Toc451937483" w:history="1">
        <w:r w:rsidR="004E373B" w:rsidRPr="00B64E81">
          <w:rPr>
            <w:rStyle w:val="Hyperlink"/>
            <w:noProof/>
          </w:rPr>
          <w:t>2.4</w:t>
        </w:r>
        <w:r w:rsidR="004E373B">
          <w:rPr>
            <w:rFonts w:asciiTheme="minorHAnsi" w:eastAsiaTheme="minorEastAsia" w:hAnsiTheme="minorHAnsi"/>
            <w:smallCaps w:val="0"/>
            <w:noProof/>
            <w:szCs w:val="22"/>
            <w:lang w:val="en-NZ" w:eastAsia="en-NZ"/>
          </w:rPr>
          <w:tab/>
        </w:r>
        <w:r w:rsidR="004E373B" w:rsidRPr="00B64E81">
          <w:rPr>
            <w:rStyle w:val="Hyperlink"/>
            <w:noProof/>
          </w:rPr>
          <w:t>Added fats and/or added vegetable oils</w:t>
        </w:r>
        <w:r w:rsidR="004E373B">
          <w:rPr>
            <w:noProof/>
            <w:webHidden/>
          </w:rPr>
          <w:tab/>
        </w:r>
        <w:r w:rsidR="004E373B">
          <w:rPr>
            <w:noProof/>
            <w:webHidden/>
          </w:rPr>
          <w:fldChar w:fldCharType="begin"/>
        </w:r>
        <w:r w:rsidR="004E373B">
          <w:rPr>
            <w:noProof/>
            <w:webHidden/>
          </w:rPr>
          <w:instrText xml:space="preserve"> PAGEREF _Toc451937483 \h </w:instrText>
        </w:r>
        <w:r w:rsidR="004E373B">
          <w:rPr>
            <w:noProof/>
            <w:webHidden/>
          </w:rPr>
        </w:r>
        <w:r w:rsidR="004E373B">
          <w:rPr>
            <w:noProof/>
            <w:webHidden/>
          </w:rPr>
          <w:fldChar w:fldCharType="separate"/>
        </w:r>
        <w:r w:rsidR="003525E2">
          <w:rPr>
            <w:noProof/>
            <w:webHidden/>
          </w:rPr>
          <w:t>6</w:t>
        </w:r>
        <w:r w:rsidR="004E373B">
          <w:rPr>
            <w:noProof/>
            <w:webHidden/>
          </w:rPr>
          <w:fldChar w:fldCharType="end"/>
        </w:r>
      </w:hyperlink>
    </w:p>
    <w:p w14:paraId="4AF2C014" w14:textId="77777777" w:rsidR="004E373B" w:rsidRDefault="00CA2F19">
      <w:pPr>
        <w:pStyle w:val="TOC2"/>
        <w:tabs>
          <w:tab w:val="right" w:leader="dot" w:pos="9060"/>
        </w:tabs>
        <w:rPr>
          <w:rFonts w:asciiTheme="minorHAnsi" w:eastAsiaTheme="minorEastAsia" w:hAnsiTheme="minorHAnsi"/>
          <w:smallCaps w:val="0"/>
          <w:noProof/>
          <w:szCs w:val="22"/>
          <w:lang w:val="en-NZ" w:eastAsia="en-NZ"/>
        </w:rPr>
      </w:pPr>
      <w:hyperlink w:anchor="_Toc451937484" w:history="1">
        <w:r w:rsidR="004E373B" w:rsidRPr="00B64E81">
          <w:rPr>
            <w:rStyle w:val="Hyperlink"/>
            <w:noProof/>
          </w:rPr>
          <w:t>2.5</w:t>
        </w:r>
        <w:r w:rsidR="004E373B">
          <w:rPr>
            <w:rFonts w:asciiTheme="minorHAnsi" w:eastAsiaTheme="minorEastAsia" w:hAnsiTheme="minorHAnsi"/>
            <w:smallCaps w:val="0"/>
            <w:noProof/>
            <w:szCs w:val="22"/>
            <w:lang w:val="en-NZ" w:eastAsia="en-NZ"/>
          </w:rPr>
          <w:tab/>
        </w:r>
        <w:r w:rsidR="004E373B" w:rsidRPr="00B64E81">
          <w:rPr>
            <w:rStyle w:val="Hyperlink"/>
            <w:noProof/>
          </w:rPr>
          <w:t>Separate ingredients versus components of an ingredient</w:t>
        </w:r>
        <w:r w:rsidR="004E373B">
          <w:rPr>
            <w:noProof/>
            <w:webHidden/>
          </w:rPr>
          <w:tab/>
        </w:r>
        <w:r w:rsidR="004E373B">
          <w:rPr>
            <w:noProof/>
            <w:webHidden/>
          </w:rPr>
          <w:fldChar w:fldCharType="begin"/>
        </w:r>
        <w:r w:rsidR="004E373B">
          <w:rPr>
            <w:noProof/>
            <w:webHidden/>
          </w:rPr>
          <w:instrText xml:space="preserve"> PAGEREF _Toc451937484 \h </w:instrText>
        </w:r>
        <w:r w:rsidR="004E373B">
          <w:rPr>
            <w:noProof/>
            <w:webHidden/>
          </w:rPr>
        </w:r>
        <w:r w:rsidR="004E373B">
          <w:rPr>
            <w:noProof/>
            <w:webHidden/>
          </w:rPr>
          <w:fldChar w:fldCharType="separate"/>
        </w:r>
        <w:r w:rsidR="003525E2">
          <w:rPr>
            <w:noProof/>
            <w:webHidden/>
          </w:rPr>
          <w:t>7</w:t>
        </w:r>
        <w:r w:rsidR="004E373B">
          <w:rPr>
            <w:noProof/>
            <w:webHidden/>
          </w:rPr>
          <w:fldChar w:fldCharType="end"/>
        </w:r>
      </w:hyperlink>
    </w:p>
    <w:p w14:paraId="5DBF9402" w14:textId="77777777" w:rsidR="004E373B" w:rsidRDefault="00CA2F19">
      <w:pPr>
        <w:pStyle w:val="TOC2"/>
        <w:tabs>
          <w:tab w:val="right" w:leader="dot" w:pos="9060"/>
        </w:tabs>
        <w:rPr>
          <w:rFonts w:asciiTheme="minorHAnsi" w:eastAsiaTheme="minorEastAsia" w:hAnsiTheme="minorHAnsi"/>
          <w:smallCaps w:val="0"/>
          <w:noProof/>
          <w:szCs w:val="22"/>
          <w:lang w:val="en-NZ" w:eastAsia="en-NZ"/>
        </w:rPr>
      </w:pPr>
      <w:hyperlink w:anchor="_Toc451937485" w:history="1">
        <w:r w:rsidR="004E373B" w:rsidRPr="00B64E81">
          <w:rPr>
            <w:rStyle w:val="Hyperlink"/>
            <w:noProof/>
          </w:rPr>
          <w:t>2.6</w:t>
        </w:r>
        <w:r w:rsidR="004E373B">
          <w:rPr>
            <w:rFonts w:asciiTheme="minorHAnsi" w:eastAsiaTheme="minorEastAsia" w:hAnsiTheme="minorHAnsi"/>
            <w:smallCaps w:val="0"/>
            <w:noProof/>
            <w:szCs w:val="22"/>
            <w:lang w:val="en-NZ" w:eastAsia="en-NZ"/>
          </w:rPr>
          <w:tab/>
        </w:r>
        <w:r w:rsidR="004E373B" w:rsidRPr="00B64E81">
          <w:rPr>
            <w:rStyle w:val="Hyperlink"/>
            <w:noProof/>
          </w:rPr>
          <w:t>Relevant standards and schedules in the Code and potential implications</w:t>
        </w:r>
        <w:r w:rsidR="004E373B">
          <w:rPr>
            <w:noProof/>
            <w:webHidden/>
          </w:rPr>
          <w:tab/>
        </w:r>
        <w:r w:rsidR="004E373B">
          <w:rPr>
            <w:noProof/>
            <w:webHidden/>
          </w:rPr>
          <w:fldChar w:fldCharType="begin"/>
        </w:r>
        <w:r w:rsidR="004E373B">
          <w:rPr>
            <w:noProof/>
            <w:webHidden/>
          </w:rPr>
          <w:instrText xml:space="preserve"> PAGEREF _Toc451937485 \h </w:instrText>
        </w:r>
        <w:r w:rsidR="004E373B">
          <w:rPr>
            <w:noProof/>
            <w:webHidden/>
          </w:rPr>
        </w:r>
        <w:r w:rsidR="004E373B">
          <w:rPr>
            <w:noProof/>
            <w:webHidden/>
          </w:rPr>
          <w:fldChar w:fldCharType="separate"/>
        </w:r>
        <w:r w:rsidR="003525E2">
          <w:rPr>
            <w:noProof/>
            <w:webHidden/>
          </w:rPr>
          <w:t>8</w:t>
        </w:r>
        <w:r w:rsidR="004E373B">
          <w:rPr>
            <w:noProof/>
            <w:webHidden/>
          </w:rPr>
          <w:fldChar w:fldCharType="end"/>
        </w:r>
      </w:hyperlink>
    </w:p>
    <w:p w14:paraId="199DFB47" w14:textId="77777777" w:rsidR="004E373B" w:rsidRDefault="00CA2F19">
      <w:pPr>
        <w:pStyle w:val="TOC1"/>
        <w:tabs>
          <w:tab w:val="left" w:pos="788"/>
          <w:tab w:val="right" w:leader="dot" w:pos="9060"/>
        </w:tabs>
        <w:rPr>
          <w:rFonts w:asciiTheme="minorHAnsi" w:eastAsiaTheme="minorEastAsia" w:hAnsiTheme="minorHAnsi"/>
          <w:b w:val="0"/>
          <w:bCs w:val="0"/>
          <w:caps w:val="0"/>
          <w:noProof/>
          <w:szCs w:val="22"/>
          <w:lang w:val="en-NZ" w:eastAsia="en-NZ"/>
        </w:rPr>
      </w:pPr>
      <w:hyperlink w:anchor="_Toc451937486" w:history="1">
        <w:r w:rsidR="004E373B" w:rsidRPr="00B64E81">
          <w:rPr>
            <w:rStyle w:val="Hyperlink"/>
            <w:noProof/>
          </w:rPr>
          <w:t>3</w:t>
        </w:r>
        <w:r w:rsidR="004E373B">
          <w:rPr>
            <w:rFonts w:asciiTheme="minorHAnsi" w:eastAsiaTheme="minorEastAsia" w:hAnsiTheme="minorHAnsi"/>
            <w:b w:val="0"/>
            <w:bCs w:val="0"/>
            <w:caps w:val="0"/>
            <w:noProof/>
            <w:szCs w:val="22"/>
            <w:lang w:val="en-NZ" w:eastAsia="en-NZ"/>
          </w:rPr>
          <w:tab/>
        </w:r>
        <w:r w:rsidR="004E373B" w:rsidRPr="00B64E81">
          <w:rPr>
            <w:rStyle w:val="Hyperlink"/>
            <w:noProof/>
          </w:rPr>
          <w:t>References</w:t>
        </w:r>
        <w:r w:rsidR="004E373B">
          <w:rPr>
            <w:noProof/>
            <w:webHidden/>
          </w:rPr>
          <w:tab/>
        </w:r>
        <w:r w:rsidR="004E373B">
          <w:rPr>
            <w:noProof/>
            <w:webHidden/>
          </w:rPr>
          <w:fldChar w:fldCharType="begin"/>
        </w:r>
        <w:r w:rsidR="004E373B">
          <w:rPr>
            <w:noProof/>
            <w:webHidden/>
          </w:rPr>
          <w:instrText xml:space="preserve"> PAGEREF _Toc451937486 \h </w:instrText>
        </w:r>
        <w:r w:rsidR="004E373B">
          <w:rPr>
            <w:noProof/>
            <w:webHidden/>
          </w:rPr>
        </w:r>
        <w:r w:rsidR="004E373B">
          <w:rPr>
            <w:noProof/>
            <w:webHidden/>
          </w:rPr>
          <w:fldChar w:fldCharType="separate"/>
        </w:r>
        <w:r w:rsidR="003525E2">
          <w:rPr>
            <w:noProof/>
            <w:webHidden/>
          </w:rPr>
          <w:t>16</w:t>
        </w:r>
        <w:r w:rsidR="004E373B">
          <w:rPr>
            <w:noProof/>
            <w:webHidden/>
          </w:rPr>
          <w:fldChar w:fldCharType="end"/>
        </w:r>
      </w:hyperlink>
    </w:p>
    <w:p w14:paraId="5A95E10B" w14:textId="7C1594B8" w:rsidR="00F379DB" w:rsidRDefault="0044114A" w:rsidP="0044114A">
      <w:pPr>
        <w:pStyle w:val="TOC1"/>
        <w:tabs>
          <w:tab w:val="right" w:leader="dot" w:pos="9060"/>
        </w:tabs>
      </w:pPr>
      <w:r>
        <w:fldChar w:fldCharType="end"/>
      </w:r>
    </w:p>
    <w:p w14:paraId="74C94848" w14:textId="77777777" w:rsidR="008A0A88" w:rsidRDefault="008A0A88" w:rsidP="008A0A88"/>
    <w:p w14:paraId="68E6F248" w14:textId="77777777" w:rsidR="008A0A88" w:rsidRDefault="008A0A88" w:rsidP="008A0A88">
      <w:r w:rsidRPr="00E203C2">
        <w:br w:type="page"/>
      </w:r>
    </w:p>
    <w:p w14:paraId="7995E8CC" w14:textId="2C180EBF" w:rsidR="00411E19" w:rsidRDefault="007A50E9" w:rsidP="009C37D3">
      <w:pPr>
        <w:pStyle w:val="Heading1"/>
        <w:numPr>
          <w:ilvl w:val="0"/>
          <w:numId w:val="35"/>
        </w:numPr>
        <w:ind w:left="851" w:hanging="851"/>
      </w:pPr>
      <w:bookmarkStart w:id="3" w:name="_Toc451937478"/>
      <w:r>
        <w:lastRenderedPageBreak/>
        <w:t>Purpose</w:t>
      </w:r>
      <w:bookmarkEnd w:id="3"/>
    </w:p>
    <w:p w14:paraId="4BF2FD01" w14:textId="19FD5777" w:rsidR="00BB5F81" w:rsidRDefault="00BB5F81" w:rsidP="00A54840">
      <w:r>
        <w:t>The purpose of this re</w:t>
      </w:r>
      <w:r w:rsidR="00A54840">
        <w:t xml:space="preserve">port is to consider </w:t>
      </w:r>
      <w:r>
        <w:t xml:space="preserve">the </w:t>
      </w:r>
      <w:r w:rsidR="00A54840">
        <w:t>potential imp</w:t>
      </w:r>
      <w:r w:rsidR="00720C6C">
        <w:t>acts</w:t>
      </w:r>
      <w:r>
        <w:t xml:space="preserve"> on</w:t>
      </w:r>
      <w:r w:rsidR="00A54840">
        <w:t xml:space="preserve"> </w:t>
      </w:r>
      <w:r>
        <w:t xml:space="preserve">existing </w:t>
      </w:r>
      <w:r w:rsidR="00A54840">
        <w:t xml:space="preserve">labelling </w:t>
      </w:r>
      <w:r>
        <w:t xml:space="preserve">requirements in the </w:t>
      </w:r>
      <w:r w:rsidRPr="00BB5F81">
        <w:rPr>
          <w:i/>
        </w:rPr>
        <w:t>Australia New Zealand Food Standards Code</w:t>
      </w:r>
      <w:r>
        <w:rPr>
          <w:i/>
        </w:rPr>
        <w:t xml:space="preserve"> </w:t>
      </w:r>
      <w:r>
        <w:t>(the Code)</w:t>
      </w:r>
      <w:r w:rsidR="00A54840">
        <w:t xml:space="preserve"> </w:t>
      </w:r>
      <w:r>
        <w:t xml:space="preserve">should Recommendation 12 of </w:t>
      </w:r>
      <w:r w:rsidRPr="00A92638">
        <w:rPr>
          <w:i/>
        </w:rPr>
        <w:t>Labelling Logic: Review of Food Labelling Law and Policy</w:t>
      </w:r>
      <w:r w:rsidRPr="00AF69FF">
        <w:t xml:space="preserve"> </w:t>
      </w:r>
      <w:r w:rsidRPr="00A92638">
        <w:rPr>
          <w:i/>
        </w:rPr>
        <w:t>(2011)</w:t>
      </w:r>
      <w:r>
        <w:t xml:space="preserve"> (Labelling Logic) be implemented.</w:t>
      </w:r>
      <w:r w:rsidR="00A54840">
        <w:t xml:space="preserve"> </w:t>
      </w:r>
      <w:r w:rsidR="00720C6C">
        <w:t xml:space="preserve">In addition, the potential influence of </w:t>
      </w:r>
      <w:r w:rsidR="00A54840">
        <w:t xml:space="preserve">existing </w:t>
      </w:r>
      <w:r w:rsidR="00720C6C">
        <w:t xml:space="preserve">Code </w:t>
      </w:r>
      <w:r w:rsidR="00A54840">
        <w:t xml:space="preserve">requirements </w:t>
      </w:r>
      <w:r w:rsidR="00720C6C">
        <w:t>on the implementation of the</w:t>
      </w:r>
      <w:r w:rsidR="000533B4">
        <w:t xml:space="preserve"> r</w:t>
      </w:r>
      <w:r w:rsidR="00A54840">
        <w:t>ecommendati</w:t>
      </w:r>
      <w:r w:rsidR="00720C6C">
        <w:t xml:space="preserve">on has </w:t>
      </w:r>
      <w:r w:rsidR="00A54840">
        <w:t xml:space="preserve">been considered. </w:t>
      </w:r>
    </w:p>
    <w:p w14:paraId="683EBC9E" w14:textId="3267CC37" w:rsidR="00FB1FC8" w:rsidRDefault="00E8473B" w:rsidP="009C37D3">
      <w:pPr>
        <w:pStyle w:val="Heading1"/>
        <w:numPr>
          <w:ilvl w:val="0"/>
          <w:numId w:val="34"/>
        </w:numPr>
        <w:spacing w:before="240"/>
        <w:ind w:left="851" w:hanging="851"/>
      </w:pPr>
      <w:bookmarkStart w:id="4" w:name="_Toc451937479"/>
      <w:r>
        <w:t>Potential</w:t>
      </w:r>
      <w:r w:rsidR="00A50482">
        <w:t xml:space="preserve"> </w:t>
      </w:r>
      <w:r w:rsidR="005A53D0">
        <w:t>implications of</w:t>
      </w:r>
      <w:r w:rsidR="00770055">
        <w:t xml:space="preserve"> </w:t>
      </w:r>
      <w:r w:rsidR="005F2852">
        <w:t>R</w:t>
      </w:r>
      <w:r w:rsidR="00770055">
        <w:t>ecommendation 12</w:t>
      </w:r>
      <w:r>
        <w:t xml:space="preserve"> </w:t>
      </w:r>
      <w:r w:rsidR="00940D3D">
        <w:t>for</w:t>
      </w:r>
      <w:r>
        <w:t xml:space="preserve"> the Code</w:t>
      </w:r>
      <w:bookmarkEnd w:id="4"/>
    </w:p>
    <w:p w14:paraId="469E675D" w14:textId="7B8DD93E" w:rsidR="00007AD9" w:rsidRPr="00007AD9" w:rsidRDefault="00007AD9" w:rsidP="00007AD9">
      <w:pPr>
        <w:rPr>
          <w:i/>
        </w:rPr>
      </w:pPr>
      <w:r>
        <w:t xml:space="preserve">Recommendation 12 of the Labelling Logic report states </w:t>
      </w:r>
      <w:r w:rsidRPr="00007AD9">
        <w:rPr>
          <w:i/>
        </w:rPr>
        <w:t>that</w:t>
      </w:r>
      <w:r>
        <w:t xml:space="preserve"> </w:t>
      </w:r>
      <w:r w:rsidRPr="00007AD9">
        <w:rPr>
          <w:i/>
        </w:rPr>
        <w:t xml:space="preserve">where sugars, fats or vegetable oils are added as separate ingredients in </w:t>
      </w:r>
      <w:r w:rsidR="00CA2F19">
        <w:rPr>
          <w:i/>
        </w:rPr>
        <w:t xml:space="preserve">a </w:t>
      </w:r>
      <w:bookmarkStart w:id="5" w:name="_GoBack"/>
      <w:bookmarkEnd w:id="5"/>
      <w:r w:rsidRPr="00007AD9">
        <w:rPr>
          <w:i/>
        </w:rPr>
        <w:t>food, the terms ‘added sugars’ and ‘added fats’ and/or ‘added vegetable oils’ be used in the ingredient list as the generic term, followed by a bracketed list (e.g., added sugars (fructose, glucose syrup, honey), added fats (palm oil, milk fat) or added vegetable oils (sunflower oil, palm oil)).</w:t>
      </w:r>
    </w:p>
    <w:p w14:paraId="45F03A65" w14:textId="77777777" w:rsidR="00007AD9" w:rsidRDefault="00007AD9" w:rsidP="00007AD9"/>
    <w:p w14:paraId="3619DEB9" w14:textId="61868F5D" w:rsidR="002C0613" w:rsidRDefault="00720C6C" w:rsidP="00EE25F0">
      <w:r>
        <w:t xml:space="preserve">FSANZ assumes that </w:t>
      </w:r>
      <w:r w:rsidR="00FA1C04">
        <w:t xml:space="preserve">the </w:t>
      </w:r>
      <w:r w:rsidR="007455A8">
        <w:t>r</w:t>
      </w:r>
      <w:r w:rsidR="00FA1C04">
        <w:t xml:space="preserve">ecommendation </w:t>
      </w:r>
      <w:r>
        <w:t xml:space="preserve">is intended to apply to all packaged foods that currently have a statement of ingredients. </w:t>
      </w:r>
      <w:r w:rsidR="00FA1C04">
        <w:t xml:space="preserve">The existing requirements for a statement of ingredients are provided in </w:t>
      </w:r>
      <w:r w:rsidR="003B47DC">
        <w:t xml:space="preserve">Standard </w:t>
      </w:r>
      <w:r w:rsidR="00D3030A">
        <w:t>1.2.</w:t>
      </w:r>
      <w:r w:rsidR="00A75265">
        <w:t xml:space="preserve">4 (Information requirements – statement of ingredients) </w:t>
      </w:r>
      <w:r w:rsidR="00F7371A">
        <w:t>a</w:t>
      </w:r>
      <w:r w:rsidR="00B521D3">
        <w:t xml:space="preserve">nd </w:t>
      </w:r>
      <w:r w:rsidR="00F7371A">
        <w:t>Schedule 10</w:t>
      </w:r>
      <w:r w:rsidR="00B521D3">
        <w:t xml:space="preserve"> (Generic names of ingredients and conditions for their use)</w:t>
      </w:r>
      <w:r w:rsidR="00F7371A">
        <w:t xml:space="preserve"> </w:t>
      </w:r>
      <w:r w:rsidR="00FA1C04">
        <w:t>of the Code</w:t>
      </w:r>
      <w:r w:rsidR="002F7945">
        <w:t>.</w:t>
      </w:r>
      <w:r w:rsidR="00FA1C04">
        <w:t xml:space="preserve"> </w:t>
      </w:r>
      <w:r w:rsidR="00C069F9">
        <w:t>A</w:t>
      </w:r>
      <w:r w:rsidR="00631D28">
        <w:t xml:space="preserve">ny </w:t>
      </w:r>
      <w:r w:rsidR="00C069F9">
        <w:t>changes to the requirements</w:t>
      </w:r>
      <w:r w:rsidR="005A4BDD">
        <w:t xml:space="preserve"> </w:t>
      </w:r>
      <w:r w:rsidR="00C069F9">
        <w:t xml:space="preserve">in </w:t>
      </w:r>
      <w:r>
        <w:t>these standards</w:t>
      </w:r>
      <w:r w:rsidR="00C069F9">
        <w:t xml:space="preserve"> </w:t>
      </w:r>
      <w:r w:rsidR="005A4BDD">
        <w:t>would</w:t>
      </w:r>
      <w:r w:rsidR="00FA1C04">
        <w:t xml:space="preserve"> </w:t>
      </w:r>
      <w:r w:rsidR="005A4BDD">
        <w:t xml:space="preserve">impact both general foods and </w:t>
      </w:r>
      <w:r w:rsidR="00FA1C04">
        <w:t xml:space="preserve">special purpose </w:t>
      </w:r>
      <w:r w:rsidR="005A4BDD">
        <w:t>foods (e.g.</w:t>
      </w:r>
      <w:r w:rsidR="00FA1C04">
        <w:t xml:space="preserve"> </w:t>
      </w:r>
      <w:r w:rsidR="005A4BDD">
        <w:t>infant formula)</w:t>
      </w:r>
      <w:r w:rsidR="00122182">
        <w:t xml:space="preserve"> </w:t>
      </w:r>
      <w:r w:rsidR="00631D28">
        <w:t>unless specific exemptions were provided</w:t>
      </w:r>
      <w:r w:rsidR="005A4BDD">
        <w:t>.</w:t>
      </w:r>
      <w:r w:rsidR="002C0613">
        <w:t xml:space="preserve"> </w:t>
      </w:r>
    </w:p>
    <w:p w14:paraId="3243C502" w14:textId="77777777" w:rsidR="002C0613" w:rsidRDefault="002C0613" w:rsidP="00EE25F0"/>
    <w:p w14:paraId="70CAF931" w14:textId="119EE518" w:rsidR="00EE25F0" w:rsidRDefault="00665E21" w:rsidP="00EE25F0">
      <w:r>
        <w:t>Various o</w:t>
      </w:r>
      <w:r w:rsidR="002852D7">
        <w:t xml:space="preserve">ther </w:t>
      </w:r>
      <w:r w:rsidR="00CE7C1F">
        <w:t>provisions</w:t>
      </w:r>
      <w:r w:rsidR="00D3030A">
        <w:t xml:space="preserve"> in the Code </w:t>
      </w:r>
      <w:r>
        <w:t>c</w:t>
      </w:r>
      <w:r w:rsidR="002C0613">
        <w:t>ould</w:t>
      </w:r>
      <w:r w:rsidR="002D461A">
        <w:t xml:space="preserve"> </w:t>
      </w:r>
      <w:r w:rsidR="00E917F4">
        <w:t xml:space="preserve">also </w:t>
      </w:r>
      <w:r w:rsidR="00D3030A" w:rsidRPr="00595529">
        <w:t xml:space="preserve">be affected by, or </w:t>
      </w:r>
      <w:r>
        <w:t>c</w:t>
      </w:r>
      <w:r w:rsidR="00872902">
        <w:t>ould</w:t>
      </w:r>
      <w:r w:rsidR="00727F63">
        <w:t xml:space="preserve"> </w:t>
      </w:r>
      <w:r w:rsidR="00DB7A02" w:rsidRPr="00595529">
        <w:t>influence</w:t>
      </w:r>
      <w:r w:rsidR="00A60FF1">
        <w:t>,</w:t>
      </w:r>
      <w:r w:rsidR="00DB7A02" w:rsidRPr="00595529">
        <w:t xml:space="preserve"> </w:t>
      </w:r>
      <w:r w:rsidR="00666135">
        <w:t>c</w:t>
      </w:r>
      <w:r w:rsidR="00F05D26" w:rsidRPr="00595529">
        <w:t xml:space="preserve">hanges </w:t>
      </w:r>
      <w:r w:rsidR="00DB7A02" w:rsidRPr="00595529">
        <w:t xml:space="preserve">to </w:t>
      </w:r>
      <w:r w:rsidR="00FA1C04">
        <w:t>the statement of ingredients</w:t>
      </w:r>
      <w:r w:rsidR="00DB7A02" w:rsidRPr="00595529">
        <w:t xml:space="preserve"> requirements</w:t>
      </w:r>
      <w:r w:rsidR="00CE7C1F">
        <w:t xml:space="preserve"> </w:t>
      </w:r>
      <w:r w:rsidR="00BE1A1B">
        <w:t xml:space="preserve">should Recommendation 12 be </w:t>
      </w:r>
      <w:r w:rsidR="00496A48">
        <w:t>implemented</w:t>
      </w:r>
      <w:r w:rsidR="00A75265" w:rsidRPr="00595529">
        <w:t>.</w:t>
      </w:r>
      <w:r w:rsidR="00872902">
        <w:t xml:space="preserve"> </w:t>
      </w:r>
      <w:r w:rsidR="00631D28">
        <w:t>Th</w:t>
      </w:r>
      <w:r>
        <w:t>ese</w:t>
      </w:r>
      <w:r w:rsidR="00631D28">
        <w:t xml:space="preserve"> include</w:t>
      </w:r>
      <w:r w:rsidR="00552559">
        <w:t xml:space="preserve"> </w:t>
      </w:r>
      <w:r w:rsidR="00122182">
        <w:t xml:space="preserve">the </w:t>
      </w:r>
      <w:r>
        <w:t xml:space="preserve">two </w:t>
      </w:r>
      <w:r w:rsidR="00122182">
        <w:t>definitions for ‘sugars’</w:t>
      </w:r>
      <w:r w:rsidR="004C1E3D">
        <w:t xml:space="preserve"> </w:t>
      </w:r>
      <w:r w:rsidR="00170534">
        <w:t>(</w:t>
      </w:r>
      <w:r w:rsidR="00122182">
        <w:t xml:space="preserve">in </w:t>
      </w:r>
      <w:r w:rsidR="00D56681">
        <w:t>Standard 1.1.2</w:t>
      </w:r>
      <w:r w:rsidR="00170534">
        <w:t>)</w:t>
      </w:r>
      <w:r w:rsidR="00D56681">
        <w:t xml:space="preserve"> </w:t>
      </w:r>
      <w:r w:rsidR="00122182">
        <w:t>and the conditions for</w:t>
      </w:r>
      <w:r w:rsidR="002F162C">
        <w:t xml:space="preserve"> making a</w:t>
      </w:r>
      <w:r w:rsidR="00122182">
        <w:t xml:space="preserve"> ‘no added sugar(s)’ nutrition content claim</w:t>
      </w:r>
      <w:r w:rsidR="00D56681">
        <w:t xml:space="preserve"> </w:t>
      </w:r>
      <w:r w:rsidR="00170534">
        <w:t>(</w:t>
      </w:r>
      <w:r w:rsidR="00D56681">
        <w:t>in Schedule 4</w:t>
      </w:r>
      <w:r w:rsidR="00170534">
        <w:t>)</w:t>
      </w:r>
      <w:r w:rsidR="00122182">
        <w:t>.</w:t>
      </w:r>
      <w:r w:rsidR="00527A10">
        <w:t xml:space="preserve"> </w:t>
      </w:r>
    </w:p>
    <w:p w14:paraId="73ABAFDB" w14:textId="77777777" w:rsidR="00677648" w:rsidRDefault="00677648" w:rsidP="00D42000"/>
    <w:p w14:paraId="36EB8788" w14:textId="70A1DC35" w:rsidR="001A4BB7" w:rsidRDefault="00872902" w:rsidP="001A4BB7">
      <w:r>
        <w:t xml:space="preserve">The </w:t>
      </w:r>
      <w:r w:rsidR="00552559">
        <w:t xml:space="preserve">relevant </w:t>
      </w:r>
      <w:r w:rsidR="001A4BB7">
        <w:t>standards</w:t>
      </w:r>
      <w:r w:rsidR="00A56FA6">
        <w:t xml:space="preserve"> </w:t>
      </w:r>
      <w:r w:rsidR="00C4510A">
        <w:t xml:space="preserve">in the Code </w:t>
      </w:r>
      <w:r w:rsidR="004F0C35">
        <w:t>and the potential</w:t>
      </w:r>
      <w:r w:rsidR="00FA1DA7">
        <w:t xml:space="preserve"> </w:t>
      </w:r>
      <w:r w:rsidR="004F0C35">
        <w:t xml:space="preserve">implications </w:t>
      </w:r>
      <w:r w:rsidR="00170534">
        <w:t xml:space="preserve">of Recommendation 12 </w:t>
      </w:r>
      <w:r w:rsidR="007B6535">
        <w:t xml:space="preserve">are </w:t>
      </w:r>
      <w:r w:rsidR="001A4BB7">
        <w:t>described</w:t>
      </w:r>
      <w:r w:rsidR="00A45423">
        <w:t xml:space="preserve"> in Table 1 </w:t>
      </w:r>
      <w:r w:rsidR="009F07B1">
        <w:t xml:space="preserve">(section </w:t>
      </w:r>
      <w:r w:rsidR="002E5591" w:rsidRPr="00B91159">
        <w:t>2.6</w:t>
      </w:r>
      <w:r w:rsidR="00A56FA6" w:rsidRPr="00B91159">
        <w:t>)</w:t>
      </w:r>
      <w:r w:rsidR="00A56FA6">
        <w:t xml:space="preserve"> </w:t>
      </w:r>
      <w:r w:rsidR="002E5591">
        <w:t>below</w:t>
      </w:r>
      <w:r w:rsidR="00677648">
        <w:t xml:space="preserve">. </w:t>
      </w:r>
      <w:r w:rsidR="00E8473B">
        <w:t>Some particular</w:t>
      </w:r>
      <w:r w:rsidR="00FD0FE6">
        <w:t xml:space="preserve"> implications</w:t>
      </w:r>
      <w:r w:rsidR="002F162C">
        <w:t xml:space="preserve"> </w:t>
      </w:r>
      <w:r w:rsidR="00034323">
        <w:t xml:space="preserve">are also </w:t>
      </w:r>
      <w:r w:rsidR="00C75D22">
        <w:t>discussed in the following sections</w:t>
      </w:r>
      <w:r w:rsidR="00527A10">
        <w:t>.</w:t>
      </w:r>
      <w:r w:rsidR="00CA388D">
        <w:t xml:space="preserve"> </w:t>
      </w:r>
      <w:r w:rsidR="00034323">
        <w:t>FSANZ notes that s</w:t>
      </w:r>
      <w:r w:rsidR="00696CED">
        <w:t>ome of the issues</w:t>
      </w:r>
      <w:r w:rsidR="0074316F">
        <w:t xml:space="preserve"> identified in this report</w:t>
      </w:r>
      <w:r w:rsidR="00696CED">
        <w:t xml:space="preserve"> </w:t>
      </w:r>
      <w:r w:rsidR="00CA388D">
        <w:t xml:space="preserve">have </w:t>
      </w:r>
      <w:r w:rsidR="0074316F">
        <w:t xml:space="preserve">also </w:t>
      </w:r>
      <w:r w:rsidR="00CA388D">
        <w:t xml:space="preserve">been </w:t>
      </w:r>
      <w:r w:rsidR="00536FD0">
        <w:t xml:space="preserve">raised by industry in targeted consultation as </w:t>
      </w:r>
      <w:r w:rsidR="00631D28">
        <w:t>detailed</w:t>
      </w:r>
      <w:r w:rsidR="00CA388D">
        <w:t xml:space="preserve"> in Supporting </w:t>
      </w:r>
      <w:r w:rsidR="00CA388D" w:rsidRPr="00B91159">
        <w:t>D</w:t>
      </w:r>
      <w:r w:rsidR="00536FD0" w:rsidRPr="00B91159">
        <w:t xml:space="preserve">ocument </w:t>
      </w:r>
      <w:r w:rsidR="0056547B" w:rsidRPr="00B91159">
        <w:t>3</w:t>
      </w:r>
      <w:r w:rsidR="00536FD0" w:rsidRPr="00B91159">
        <w:t>.</w:t>
      </w:r>
      <w:r w:rsidR="00536FD0">
        <w:t xml:space="preserve"> </w:t>
      </w:r>
    </w:p>
    <w:p w14:paraId="1F0CD5DD" w14:textId="77777777" w:rsidR="001A4BB7" w:rsidRDefault="001A4BB7" w:rsidP="001A4BB7"/>
    <w:p w14:paraId="64A9F00C" w14:textId="5C790570" w:rsidR="0074316F" w:rsidRDefault="0074316F" w:rsidP="002E5591">
      <w:r>
        <w:t xml:space="preserve">Some of the </w:t>
      </w:r>
      <w:r w:rsidR="007A01B2">
        <w:t>issues</w:t>
      </w:r>
      <w:r>
        <w:t xml:space="preserve"> identified in this report are complex and could </w:t>
      </w:r>
      <w:r w:rsidR="00FA0612">
        <w:t xml:space="preserve">impact </w:t>
      </w:r>
      <w:r>
        <w:t xml:space="preserve">on various stakeholders. The inclusion of </w:t>
      </w:r>
      <w:r w:rsidR="007A01B2">
        <w:t>‘</w:t>
      </w:r>
      <w:r>
        <w:t>added sugars</w:t>
      </w:r>
      <w:r w:rsidR="007A01B2">
        <w:t>’</w:t>
      </w:r>
      <w:r>
        <w:t xml:space="preserve">, </w:t>
      </w:r>
      <w:r w:rsidR="007A01B2">
        <w:t>‘</w:t>
      </w:r>
      <w:r w:rsidR="00D74A0A">
        <w:t xml:space="preserve">added </w:t>
      </w:r>
      <w:r>
        <w:t>fats</w:t>
      </w:r>
      <w:r w:rsidR="007A01B2">
        <w:t>’</w:t>
      </w:r>
      <w:r>
        <w:t xml:space="preserve"> and/or </w:t>
      </w:r>
      <w:r w:rsidR="007A01B2">
        <w:t>‘</w:t>
      </w:r>
      <w:r w:rsidR="00D74A0A">
        <w:t xml:space="preserve">added </w:t>
      </w:r>
      <w:r>
        <w:t>vegetable oils</w:t>
      </w:r>
      <w:r w:rsidR="007A01B2">
        <w:t>’ followed by bracketed lists</w:t>
      </w:r>
      <w:r>
        <w:t xml:space="preserve"> in the statement of ingredients</w:t>
      </w:r>
      <w:r w:rsidR="007A01B2">
        <w:t xml:space="preserve"> </w:t>
      </w:r>
      <w:r w:rsidR="00025817">
        <w:t>would</w:t>
      </w:r>
      <w:r w:rsidR="00FA0612">
        <w:t xml:space="preserve"> therefore</w:t>
      </w:r>
      <w:r w:rsidR="00025817">
        <w:t xml:space="preserve"> </w:t>
      </w:r>
      <w:r>
        <w:t xml:space="preserve">likely be difficult to implement. </w:t>
      </w:r>
      <w:r w:rsidR="00663E89">
        <w:t>S</w:t>
      </w:r>
      <w:r w:rsidR="001A4BB7">
        <w:t>hould a regulatory change be considered</w:t>
      </w:r>
      <w:r w:rsidR="00496A48">
        <w:t xml:space="preserve"> to implement Recommendation 12</w:t>
      </w:r>
      <w:r w:rsidR="00552559">
        <w:t>, a full assessment of the</w:t>
      </w:r>
      <w:r w:rsidR="001A4BB7">
        <w:t xml:space="preserve"> potential</w:t>
      </w:r>
      <w:r w:rsidR="00757F74">
        <w:t xml:space="preserve"> </w:t>
      </w:r>
      <w:r w:rsidR="001A4BB7">
        <w:t xml:space="preserve">implications and issues </w:t>
      </w:r>
      <w:r w:rsidR="003D28C2">
        <w:t xml:space="preserve">identified in this report </w:t>
      </w:r>
      <w:r w:rsidR="00D553B9">
        <w:t xml:space="preserve">would </w:t>
      </w:r>
      <w:r w:rsidR="001A4BB7">
        <w:t>be required</w:t>
      </w:r>
      <w:r w:rsidR="00EF1AAA">
        <w:t xml:space="preserve">. </w:t>
      </w:r>
      <w:r w:rsidR="00D553B9" w:rsidRPr="00A56FA6">
        <w:t xml:space="preserve">This </w:t>
      </w:r>
      <w:r w:rsidR="00EB6274">
        <w:t xml:space="preserve">would </w:t>
      </w:r>
      <w:r w:rsidR="007A01B2">
        <w:t xml:space="preserve">need to </w:t>
      </w:r>
      <w:r w:rsidR="00EB6274">
        <w:t>include an</w:t>
      </w:r>
      <w:r w:rsidR="003D28C2">
        <w:t xml:space="preserve"> assessment</w:t>
      </w:r>
      <w:r w:rsidR="00D553B9" w:rsidRPr="00A56FA6">
        <w:t xml:space="preserve"> of the impacts on c</w:t>
      </w:r>
      <w:r w:rsidR="00D553B9">
        <w:t xml:space="preserve">onsumers, the food industry and </w:t>
      </w:r>
      <w:r w:rsidR="00D553B9" w:rsidRPr="00A56FA6">
        <w:t>enforcement authorities.</w:t>
      </w:r>
      <w:r w:rsidR="004F0725">
        <w:t xml:space="preserve"> </w:t>
      </w:r>
      <w:r w:rsidR="00BF48B8">
        <w:t>During such an assessment it is also possible that implications and issues</w:t>
      </w:r>
      <w:r w:rsidR="00BF48B8" w:rsidRPr="00595529">
        <w:t xml:space="preserve"> </w:t>
      </w:r>
      <w:r w:rsidR="00BF48B8">
        <w:t xml:space="preserve">further to those discussed in this report could be identified. </w:t>
      </w:r>
    </w:p>
    <w:p w14:paraId="5DDFBA48" w14:textId="77777777" w:rsidR="00FE7396" w:rsidRDefault="00FE7396">
      <w:pPr>
        <w:rPr>
          <w:rFonts w:eastAsiaTheme="majorEastAsia" w:cs="Arial"/>
          <w:b/>
          <w:bCs/>
          <w:sz w:val="28"/>
          <w:szCs w:val="28"/>
        </w:rPr>
      </w:pPr>
      <w:bookmarkStart w:id="6" w:name="_Toc451937480"/>
      <w:r>
        <w:br w:type="page"/>
      </w:r>
    </w:p>
    <w:p w14:paraId="1AF661D3" w14:textId="032C8465" w:rsidR="004F452D" w:rsidRDefault="00BA333C" w:rsidP="009C37D3">
      <w:pPr>
        <w:pStyle w:val="Heading2"/>
      </w:pPr>
      <w:r>
        <w:lastRenderedPageBreak/>
        <w:t>2</w:t>
      </w:r>
      <w:r w:rsidR="004F452D">
        <w:t xml:space="preserve">.1 </w:t>
      </w:r>
      <w:r w:rsidR="004F452D">
        <w:tab/>
        <w:t>O</w:t>
      </w:r>
      <w:r w:rsidR="000D5026">
        <w:t>rder</w:t>
      </w:r>
      <w:r w:rsidR="00F66A5B">
        <w:t xml:space="preserve"> of</w:t>
      </w:r>
      <w:r w:rsidR="000D5026">
        <w:t xml:space="preserve"> </w:t>
      </w:r>
      <w:r w:rsidR="004F452D">
        <w:t>ingredients</w:t>
      </w:r>
      <w:bookmarkEnd w:id="6"/>
    </w:p>
    <w:p w14:paraId="09308B3C" w14:textId="3E1245E6" w:rsidR="00E434F4" w:rsidRDefault="0078042D" w:rsidP="00916273">
      <w:pPr>
        <w:rPr>
          <w:rFonts w:cs="Arial"/>
        </w:rPr>
      </w:pPr>
      <w:r>
        <w:rPr>
          <w:rFonts w:cs="Arial"/>
        </w:rPr>
        <w:t xml:space="preserve">The Code currently requires ingredients to be listed in descending order of ingoing weight (as detailed in Table 1). </w:t>
      </w:r>
      <w:r w:rsidR="00E434F4" w:rsidRPr="000D5026">
        <w:rPr>
          <w:rFonts w:cs="Arial"/>
        </w:rPr>
        <w:t xml:space="preserve">Recommendation 12 does not specify how </w:t>
      </w:r>
      <w:r w:rsidR="00916273">
        <w:rPr>
          <w:rFonts w:cs="Arial"/>
        </w:rPr>
        <w:t>t</w:t>
      </w:r>
      <w:r w:rsidR="003F27D1">
        <w:rPr>
          <w:rFonts w:cs="Arial"/>
        </w:rPr>
        <w:t>he</w:t>
      </w:r>
      <w:r w:rsidR="00916273">
        <w:rPr>
          <w:rFonts w:cs="Arial"/>
        </w:rPr>
        <w:t xml:space="preserve"> groups </w:t>
      </w:r>
      <w:r w:rsidR="003F27D1">
        <w:rPr>
          <w:rFonts w:cs="Arial"/>
        </w:rPr>
        <w:t xml:space="preserve">of added sugars, added fats </w:t>
      </w:r>
      <w:r w:rsidR="002573BB">
        <w:rPr>
          <w:rFonts w:cs="Arial"/>
        </w:rPr>
        <w:t>or</w:t>
      </w:r>
      <w:r w:rsidR="003F27D1">
        <w:rPr>
          <w:rFonts w:cs="Arial"/>
        </w:rPr>
        <w:t xml:space="preserve"> added vegetable oils </w:t>
      </w:r>
      <w:r w:rsidR="006D2036">
        <w:rPr>
          <w:rFonts w:cs="Arial"/>
        </w:rPr>
        <w:t>w</w:t>
      </w:r>
      <w:r w:rsidR="00E434F4" w:rsidRPr="000D5026">
        <w:rPr>
          <w:rFonts w:cs="Arial"/>
        </w:rPr>
        <w:t>ould be ordered in the statement of ingredients, or how the ingredients</w:t>
      </w:r>
      <w:r w:rsidR="008C3D63">
        <w:rPr>
          <w:rFonts w:cs="Arial"/>
        </w:rPr>
        <w:t xml:space="preserve"> specified</w:t>
      </w:r>
      <w:r w:rsidR="00E434F4" w:rsidRPr="000D5026">
        <w:rPr>
          <w:rFonts w:cs="Arial"/>
        </w:rPr>
        <w:t xml:space="preserve"> </w:t>
      </w:r>
      <w:r w:rsidR="00542A93">
        <w:rPr>
          <w:rFonts w:cs="Arial"/>
        </w:rPr>
        <w:t>with</w:t>
      </w:r>
      <w:r w:rsidR="00E434F4" w:rsidRPr="000D5026">
        <w:rPr>
          <w:rFonts w:cs="Arial"/>
        </w:rPr>
        <w:t xml:space="preserve">in the bracketed lists </w:t>
      </w:r>
      <w:r w:rsidR="002E21C0">
        <w:rPr>
          <w:rFonts w:cs="Arial"/>
        </w:rPr>
        <w:t>w</w:t>
      </w:r>
      <w:r w:rsidR="00E434F4" w:rsidRPr="000D5026">
        <w:rPr>
          <w:rFonts w:cs="Arial"/>
        </w:rPr>
        <w:t xml:space="preserve">ould be ordered. </w:t>
      </w:r>
      <w:r w:rsidR="00304C98">
        <w:rPr>
          <w:rFonts w:cs="Arial"/>
        </w:rPr>
        <w:t>Should Recommendation 12 be implemented, a</w:t>
      </w:r>
      <w:r w:rsidR="005B117B">
        <w:rPr>
          <w:rFonts w:cs="Arial"/>
        </w:rPr>
        <w:t xml:space="preserve"> det</w:t>
      </w:r>
      <w:r w:rsidR="00034209">
        <w:rPr>
          <w:rFonts w:cs="Arial"/>
        </w:rPr>
        <w:t xml:space="preserve">ermination on how to order </w:t>
      </w:r>
      <w:r w:rsidR="00304C98">
        <w:rPr>
          <w:rFonts w:cs="Arial"/>
        </w:rPr>
        <w:t xml:space="preserve">the added </w:t>
      </w:r>
      <w:r w:rsidR="005B117B">
        <w:rPr>
          <w:rFonts w:cs="Arial"/>
        </w:rPr>
        <w:t>ingredients</w:t>
      </w:r>
      <w:r w:rsidR="00034209">
        <w:rPr>
          <w:rFonts w:cs="Arial"/>
        </w:rPr>
        <w:t xml:space="preserve"> </w:t>
      </w:r>
      <w:r w:rsidR="005B117B">
        <w:rPr>
          <w:rFonts w:cs="Arial"/>
        </w:rPr>
        <w:t xml:space="preserve">would </w:t>
      </w:r>
      <w:r w:rsidR="00304C98">
        <w:rPr>
          <w:rFonts w:cs="Arial"/>
        </w:rPr>
        <w:t>need to be made</w:t>
      </w:r>
      <w:r w:rsidR="005B117B">
        <w:rPr>
          <w:rFonts w:cs="Arial"/>
        </w:rPr>
        <w:t xml:space="preserve">. </w:t>
      </w:r>
      <w:r w:rsidR="001565F0">
        <w:rPr>
          <w:rFonts w:cs="Arial"/>
        </w:rPr>
        <w:t>FSANZ has identified s</w:t>
      </w:r>
      <w:r w:rsidR="00F12492">
        <w:rPr>
          <w:rFonts w:cs="Arial"/>
        </w:rPr>
        <w:t xml:space="preserve">ome </w:t>
      </w:r>
      <w:r w:rsidR="001565F0">
        <w:rPr>
          <w:rFonts w:cs="Arial"/>
        </w:rPr>
        <w:t xml:space="preserve">potential issues </w:t>
      </w:r>
      <w:r w:rsidR="00DF2F58">
        <w:rPr>
          <w:rFonts w:cs="Arial"/>
        </w:rPr>
        <w:t xml:space="preserve">relevant to the ordering of ingredients, </w:t>
      </w:r>
      <w:r w:rsidR="00255065">
        <w:rPr>
          <w:rFonts w:cs="Arial"/>
        </w:rPr>
        <w:t>as follows</w:t>
      </w:r>
      <w:r w:rsidR="005B117B">
        <w:rPr>
          <w:rFonts w:cs="Arial"/>
        </w:rPr>
        <w:t>:</w:t>
      </w:r>
    </w:p>
    <w:p w14:paraId="6E48A271" w14:textId="77777777" w:rsidR="00FE7396" w:rsidRDefault="00FE7396" w:rsidP="00916273">
      <w:pPr>
        <w:rPr>
          <w:rFonts w:cs="Arial"/>
        </w:rPr>
      </w:pPr>
    </w:p>
    <w:p w14:paraId="336575E2" w14:textId="49E9C466" w:rsidR="005C2D61" w:rsidRPr="000D5026" w:rsidRDefault="00D815D9" w:rsidP="005C2D61">
      <w:pPr>
        <w:pStyle w:val="FSBullet1"/>
        <w:rPr>
          <w:szCs w:val="22"/>
        </w:rPr>
      </w:pPr>
      <w:r>
        <w:t>The</w:t>
      </w:r>
      <w:r w:rsidR="00914541">
        <w:t xml:space="preserve"> </w:t>
      </w:r>
      <w:r w:rsidR="00E434F4" w:rsidRPr="000D5026">
        <w:rPr>
          <w:szCs w:val="22"/>
        </w:rPr>
        <w:t>added sugars</w:t>
      </w:r>
      <w:r w:rsidR="00BB6EA3">
        <w:t>, added fats and</w:t>
      </w:r>
      <w:r w:rsidR="00914541">
        <w:t xml:space="preserve"> added </w:t>
      </w:r>
      <w:r w:rsidR="00E434F4" w:rsidRPr="000D5026">
        <w:rPr>
          <w:szCs w:val="22"/>
        </w:rPr>
        <w:t xml:space="preserve">vegetable oils </w:t>
      </w:r>
      <w:r w:rsidR="009E1818">
        <w:rPr>
          <w:szCs w:val="22"/>
        </w:rPr>
        <w:t xml:space="preserve">groups </w:t>
      </w:r>
      <w:r w:rsidR="00983CDF">
        <w:t xml:space="preserve">could be </w:t>
      </w:r>
      <w:r w:rsidR="00542A93">
        <w:t xml:space="preserve">ordered </w:t>
      </w:r>
      <w:r w:rsidR="002E36E9">
        <w:t>according to the combined</w:t>
      </w:r>
      <w:r w:rsidR="00E434F4" w:rsidRPr="000D5026">
        <w:rPr>
          <w:szCs w:val="22"/>
        </w:rPr>
        <w:t xml:space="preserve"> ingoing weight of all of the ingredients captured in the </w:t>
      </w:r>
      <w:r w:rsidR="009E1818">
        <w:t xml:space="preserve">bracketed lists </w:t>
      </w:r>
      <w:r w:rsidR="00E434F4" w:rsidRPr="000D5026">
        <w:rPr>
          <w:szCs w:val="22"/>
        </w:rPr>
        <w:t>(e.g. for a</w:t>
      </w:r>
      <w:r w:rsidR="00914541">
        <w:rPr>
          <w:szCs w:val="22"/>
        </w:rPr>
        <w:t xml:space="preserve">dded sugars, based on the combined ingoing </w:t>
      </w:r>
      <w:r w:rsidR="00E434F4" w:rsidRPr="000D5026">
        <w:rPr>
          <w:szCs w:val="22"/>
        </w:rPr>
        <w:t xml:space="preserve">weight of all added sugars grouped in the bracketed list). </w:t>
      </w:r>
      <w:r w:rsidR="00A05BC0">
        <w:rPr>
          <w:szCs w:val="22"/>
        </w:rPr>
        <w:t xml:space="preserve">This approach </w:t>
      </w:r>
      <w:r w:rsidR="00594CBC">
        <w:rPr>
          <w:szCs w:val="22"/>
        </w:rPr>
        <w:t>c</w:t>
      </w:r>
      <w:r w:rsidR="00E434F4" w:rsidRPr="000D5026">
        <w:rPr>
          <w:szCs w:val="22"/>
        </w:rPr>
        <w:t xml:space="preserve">ould change the existing order </w:t>
      </w:r>
      <w:r w:rsidR="002E36E9">
        <w:t>of individual ingredients</w:t>
      </w:r>
      <w:r w:rsidR="00A05BC0">
        <w:t xml:space="preserve"> in the statement of ingredients</w:t>
      </w:r>
      <w:r w:rsidR="0056717E">
        <w:t>.</w:t>
      </w:r>
      <w:r w:rsidR="00A05BC0">
        <w:t xml:space="preserve"> </w:t>
      </w:r>
      <w:r w:rsidR="0056717E" w:rsidRPr="00C12355">
        <w:t>W</w:t>
      </w:r>
      <w:r w:rsidR="00A05BC0" w:rsidRPr="00C12355">
        <w:t>hether this could lead to misleading or confusing information for consumers would need to be assessed.</w:t>
      </w:r>
      <w:r w:rsidR="00A05BC0">
        <w:t xml:space="preserve"> </w:t>
      </w:r>
      <w:r w:rsidR="002E36E9">
        <w:t xml:space="preserve">For example, </w:t>
      </w:r>
      <w:r w:rsidR="0056717E">
        <w:t xml:space="preserve">in the case where </w:t>
      </w:r>
      <w:r w:rsidR="00A05BC0">
        <w:t>a specific</w:t>
      </w:r>
      <w:r w:rsidR="002E36E9">
        <w:t xml:space="preserve"> added</w:t>
      </w:r>
      <w:r w:rsidR="00E434F4" w:rsidRPr="000D5026">
        <w:rPr>
          <w:szCs w:val="22"/>
        </w:rPr>
        <w:t xml:space="preserve"> </w:t>
      </w:r>
      <w:r w:rsidR="005B117B">
        <w:rPr>
          <w:szCs w:val="22"/>
        </w:rPr>
        <w:t xml:space="preserve">sugar </w:t>
      </w:r>
      <w:r w:rsidR="00E434F4" w:rsidRPr="000D5026">
        <w:rPr>
          <w:szCs w:val="22"/>
        </w:rPr>
        <w:t xml:space="preserve">ingredient </w:t>
      </w:r>
      <w:r w:rsidR="00A05BC0">
        <w:t xml:space="preserve">only contributes a small amount to </w:t>
      </w:r>
      <w:r w:rsidR="0056717E">
        <w:t>the food</w:t>
      </w:r>
      <w:r w:rsidR="001565F0">
        <w:t xml:space="preserve"> (based on its ingoing weight)</w:t>
      </w:r>
      <w:r w:rsidR="0056717E">
        <w:t>, this would currently be listed</w:t>
      </w:r>
      <w:r w:rsidR="001565F0">
        <w:t xml:space="preserve"> individually</w:t>
      </w:r>
      <w:r w:rsidR="0056717E">
        <w:t xml:space="preserve"> near the end of the statement of ingredients under existing requirements. However, under </w:t>
      </w:r>
      <w:r w:rsidR="00594CBC">
        <w:t xml:space="preserve">this </w:t>
      </w:r>
      <w:r w:rsidR="00542A93">
        <w:t xml:space="preserve">alternative </w:t>
      </w:r>
      <w:r w:rsidR="00791031">
        <w:t>approach</w:t>
      </w:r>
      <w:r w:rsidR="00594CBC">
        <w:t>,</w:t>
      </w:r>
      <w:r w:rsidR="0056717E">
        <w:t xml:space="preserve"> it could </w:t>
      </w:r>
      <w:r w:rsidR="00916273">
        <w:t xml:space="preserve">be grouped </w:t>
      </w:r>
      <w:r w:rsidR="009E1818">
        <w:t xml:space="preserve">in brackets </w:t>
      </w:r>
      <w:r w:rsidR="00916273">
        <w:t>with</w:t>
      </w:r>
      <w:r w:rsidR="005C2D61">
        <w:t xml:space="preserve"> a number of other added </w:t>
      </w:r>
      <w:r w:rsidR="00916273">
        <w:t>sugars</w:t>
      </w:r>
      <w:r w:rsidR="0056717E">
        <w:t xml:space="preserve"> </w:t>
      </w:r>
      <w:r w:rsidR="00A05BC0">
        <w:t>which</w:t>
      </w:r>
      <w:r w:rsidR="0056717E">
        <w:t>, based on the combined ingoing weight</w:t>
      </w:r>
      <w:r w:rsidR="005C2D61">
        <w:t xml:space="preserve"> of </w:t>
      </w:r>
      <w:r w:rsidR="00916273">
        <w:t xml:space="preserve">all </w:t>
      </w:r>
      <w:r w:rsidR="005C2D61">
        <w:t xml:space="preserve">the </w:t>
      </w:r>
      <w:r w:rsidR="00791031">
        <w:t>other</w:t>
      </w:r>
      <w:r w:rsidR="009E1818">
        <w:t xml:space="preserve"> </w:t>
      </w:r>
      <w:r w:rsidR="00791031">
        <w:t>added sugars</w:t>
      </w:r>
      <w:r w:rsidR="009E1818">
        <w:t xml:space="preserve"> in the bracketed list</w:t>
      </w:r>
      <w:r w:rsidR="005C2D61">
        <w:t>,</w:t>
      </w:r>
      <w:r w:rsidR="0056717E">
        <w:t xml:space="preserve"> </w:t>
      </w:r>
      <w:r w:rsidR="007A2014">
        <w:t xml:space="preserve">could be </w:t>
      </w:r>
      <w:r w:rsidR="0056717E">
        <w:t xml:space="preserve">listed </w:t>
      </w:r>
      <w:r w:rsidR="009E1818">
        <w:t>at</w:t>
      </w:r>
      <w:r w:rsidR="0056717E">
        <w:t xml:space="preserve"> the </w:t>
      </w:r>
      <w:r w:rsidR="00542A93">
        <w:t xml:space="preserve">start </w:t>
      </w:r>
      <w:r w:rsidR="0056717E">
        <w:t xml:space="preserve">of the statement of ingredients. </w:t>
      </w:r>
      <w:r w:rsidR="005C2D61">
        <w:t xml:space="preserve">This </w:t>
      </w:r>
      <w:r w:rsidR="00916273">
        <w:t>c</w:t>
      </w:r>
      <w:r w:rsidR="005C2D61">
        <w:t xml:space="preserve">ould mean that the specific added </w:t>
      </w:r>
      <w:r w:rsidR="00916273">
        <w:t xml:space="preserve">sugar </w:t>
      </w:r>
      <w:r w:rsidR="005C2D61">
        <w:t>ingredient appear</w:t>
      </w:r>
      <w:r w:rsidR="00916273">
        <w:t>s</w:t>
      </w:r>
      <w:r w:rsidR="005C2D61">
        <w:t xml:space="preserve"> to contribute a greater amount to the food than it does on an individual basis. </w:t>
      </w:r>
      <w:r w:rsidR="00916273">
        <w:t>In addition, t</w:t>
      </w:r>
      <w:r w:rsidR="005C2D61">
        <w:t>his</w:t>
      </w:r>
      <w:r w:rsidR="00916273">
        <w:t xml:space="preserve"> approach </w:t>
      </w:r>
      <w:r w:rsidR="005C2D61">
        <w:t xml:space="preserve">could also mean that the individual ingredient that does </w:t>
      </w:r>
      <w:r w:rsidR="005C2D61" w:rsidRPr="000D5026">
        <w:rPr>
          <w:szCs w:val="22"/>
        </w:rPr>
        <w:t>contribute the most to the food</w:t>
      </w:r>
      <w:r w:rsidR="005C2D61">
        <w:rPr>
          <w:szCs w:val="22"/>
        </w:rPr>
        <w:t xml:space="preserve"> is no longer clear to consumers.</w:t>
      </w:r>
    </w:p>
    <w:p w14:paraId="6B6E10F2" w14:textId="0E644AF1" w:rsidR="00E434F4" w:rsidRPr="000D5026" w:rsidRDefault="00E434F4" w:rsidP="00916273">
      <w:pPr>
        <w:pStyle w:val="FSBullet1"/>
        <w:numPr>
          <w:ilvl w:val="0"/>
          <w:numId w:val="0"/>
        </w:numPr>
        <w:rPr>
          <w:szCs w:val="22"/>
        </w:rPr>
      </w:pPr>
    </w:p>
    <w:p w14:paraId="35BA6484" w14:textId="7F8984DE" w:rsidR="00413D40" w:rsidRDefault="00E434F4" w:rsidP="00413D40">
      <w:pPr>
        <w:pStyle w:val="FSBullet1"/>
      </w:pPr>
      <w:r w:rsidRPr="000D5026">
        <w:t>The specific ingredients in the bracketed lists (e.g. sunflower oil, palm oil) could be listed in descending order of ingoing weight within</w:t>
      </w:r>
      <w:r w:rsidR="00FC671F">
        <w:t xml:space="preserve"> the bracketed list. </w:t>
      </w:r>
      <w:r w:rsidRPr="000D5026">
        <w:t xml:space="preserve">This </w:t>
      </w:r>
      <w:r w:rsidR="00FC671F">
        <w:t xml:space="preserve">approach </w:t>
      </w:r>
      <w:r w:rsidRPr="000D5026">
        <w:t>could have</w:t>
      </w:r>
      <w:r w:rsidR="00BB6EA3">
        <w:t xml:space="preserve"> </w:t>
      </w:r>
      <w:r w:rsidRPr="000D5026">
        <w:t xml:space="preserve">impacts on industry, for example, </w:t>
      </w:r>
      <w:r w:rsidR="00FC671F">
        <w:t>in the case where</w:t>
      </w:r>
      <w:r w:rsidRPr="000D5026">
        <w:t xml:space="preserve"> differing </w:t>
      </w:r>
      <w:r w:rsidR="00B91159" w:rsidRPr="000D5026">
        <w:t>ratios</w:t>
      </w:r>
      <w:r w:rsidRPr="000D5026">
        <w:t xml:space="preserve"> of vegetable oils are used between batches of a food product (i.e. due to variances in supply and availability of vegetable oils as discussed in Supporting </w:t>
      </w:r>
      <w:r w:rsidRPr="00B91159">
        <w:t xml:space="preserve">Document </w:t>
      </w:r>
      <w:r w:rsidR="0056547B" w:rsidRPr="00B91159">
        <w:t>3</w:t>
      </w:r>
      <w:r w:rsidRPr="00B91159">
        <w:t>).</w:t>
      </w:r>
      <w:r w:rsidRPr="000D5026">
        <w:t xml:space="preserve"> In this case, the ingoing weight of the specific vegetable oils could vary and require differ</w:t>
      </w:r>
      <w:r w:rsidR="00413D40">
        <w:t xml:space="preserve">ent labels for each different variation of what is essentially the same food product. </w:t>
      </w:r>
    </w:p>
    <w:p w14:paraId="2C3FABC2" w14:textId="03788DCD" w:rsidR="005400E0" w:rsidRDefault="00BA333C" w:rsidP="009C37D3">
      <w:pPr>
        <w:pStyle w:val="Heading2"/>
      </w:pPr>
      <w:bookmarkStart w:id="7" w:name="_Toc451937481"/>
      <w:r>
        <w:t>2</w:t>
      </w:r>
      <w:r w:rsidR="005400E0">
        <w:t xml:space="preserve">.2 </w:t>
      </w:r>
      <w:r w:rsidR="005400E0">
        <w:tab/>
        <w:t>Compound ingredients</w:t>
      </w:r>
      <w:bookmarkEnd w:id="7"/>
    </w:p>
    <w:p w14:paraId="2A966584" w14:textId="77777777" w:rsidR="00BA27E1" w:rsidRDefault="00272092" w:rsidP="00F12492">
      <w:pPr>
        <w:rPr>
          <w:rFonts w:eastAsia="Times New Roman" w:cs="Arial"/>
          <w:color w:val="000000"/>
          <w:lang w:val="en-AU" w:eastAsia="en-AU"/>
        </w:rPr>
      </w:pPr>
      <w:r>
        <w:rPr>
          <w:rFonts w:eastAsia="Times New Roman" w:cs="Arial"/>
          <w:color w:val="000000"/>
          <w:lang w:val="en-AU" w:eastAsia="en-AU"/>
        </w:rPr>
        <w:t xml:space="preserve">A compound ingredient is an ingredient which is itself made from two or more ingredients. </w:t>
      </w:r>
      <w:r w:rsidR="00255065">
        <w:rPr>
          <w:rFonts w:eastAsia="Times New Roman" w:cs="Arial"/>
          <w:color w:val="000000"/>
          <w:lang w:val="en-AU" w:eastAsia="en-AU"/>
        </w:rPr>
        <w:t>As detailed in Table 1, t</w:t>
      </w:r>
      <w:r w:rsidR="00390576">
        <w:rPr>
          <w:rFonts w:eastAsia="Times New Roman" w:cs="Arial"/>
          <w:color w:val="000000"/>
          <w:lang w:val="en-AU" w:eastAsia="en-AU"/>
        </w:rPr>
        <w:t>he Code currently provides two options for listing compound ingredients:</w:t>
      </w:r>
    </w:p>
    <w:p w14:paraId="249F89DD" w14:textId="77777777" w:rsidR="00BA27E1" w:rsidRDefault="00BA27E1" w:rsidP="00F12492">
      <w:pPr>
        <w:rPr>
          <w:rFonts w:eastAsia="Times New Roman" w:cs="Arial"/>
          <w:color w:val="000000"/>
          <w:lang w:val="en-AU" w:eastAsia="en-AU"/>
        </w:rPr>
      </w:pPr>
    </w:p>
    <w:p w14:paraId="1A9072B4" w14:textId="785F5BF1" w:rsidR="00BA27E1" w:rsidRDefault="00390576" w:rsidP="00BA27E1">
      <w:pPr>
        <w:pStyle w:val="FSBullet1"/>
        <w:rPr>
          <w:lang w:val="en-AU" w:eastAsia="en-AU"/>
        </w:rPr>
      </w:pPr>
      <w:r w:rsidRPr="00BA27E1">
        <w:rPr>
          <w:lang w:val="en-AU" w:eastAsia="en-AU"/>
        </w:rPr>
        <w:t>by the compound ingredient name</w:t>
      </w:r>
      <w:r w:rsidR="00A271A5">
        <w:rPr>
          <w:lang w:val="en-AU" w:eastAsia="en-AU"/>
        </w:rPr>
        <w:t>, or</w:t>
      </w:r>
    </w:p>
    <w:p w14:paraId="32D15616" w14:textId="77777777" w:rsidR="00BA27E1" w:rsidRDefault="00390576" w:rsidP="00BA27E1">
      <w:pPr>
        <w:pStyle w:val="FSBullet1"/>
        <w:rPr>
          <w:lang w:val="en-AU" w:eastAsia="en-AU"/>
        </w:rPr>
      </w:pPr>
      <w:r w:rsidRPr="00BA27E1">
        <w:rPr>
          <w:lang w:val="en-AU" w:eastAsia="en-AU"/>
        </w:rPr>
        <w:t>by listing each ingredient of the compound ingredient individually</w:t>
      </w:r>
      <w:r w:rsidR="00CD56B2" w:rsidRPr="00BA27E1">
        <w:rPr>
          <w:lang w:val="en-AU" w:eastAsia="en-AU"/>
        </w:rPr>
        <w:t xml:space="preserve"> as an ingredient of the food for sale</w:t>
      </w:r>
      <w:r w:rsidRPr="00BA27E1">
        <w:rPr>
          <w:lang w:val="en-AU" w:eastAsia="en-AU"/>
        </w:rPr>
        <w:t xml:space="preserve">. </w:t>
      </w:r>
    </w:p>
    <w:p w14:paraId="6EF31B9F" w14:textId="77777777" w:rsidR="00BA27E1" w:rsidRDefault="00BA27E1" w:rsidP="00BA27E1">
      <w:pPr>
        <w:pStyle w:val="FSBullet1"/>
        <w:numPr>
          <w:ilvl w:val="0"/>
          <w:numId w:val="0"/>
        </w:numPr>
        <w:rPr>
          <w:lang w:val="en-AU" w:eastAsia="en-AU"/>
        </w:rPr>
      </w:pPr>
    </w:p>
    <w:p w14:paraId="344F386D" w14:textId="3385B44E" w:rsidR="00272092" w:rsidRPr="00BA27E1" w:rsidRDefault="00390576" w:rsidP="00BA27E1">
      <w:pPr>
        <w:pStyle w:val="FSBullet1"/>
        <w:numPr>
          <w:ilvl w:val="0"/>
          <w:numId w:val="0"/>
        </w:numPr>
        <w:rPr>
          <w:lang w:val="en-AU" w:eastAsia="en-AU"/>
        </w:rPr>
      </w:pPr>
      <w:r w:rsidRPr="00BA27E1">
        <w:rPr>
          <w:lang w:val="en-AU" w:eastAsia="en-AU"/>
        </w:rPr>
        <w:t xml:space="preserve">If listed by the compound ingredient name, </w:t>
      </w:r>
      <w:r w:rsidR="00043B03" w:rsidRPr="00BA27E1">
        <w:rPr>
          <w:lang w:val="en-AU" w:eastAsia="en-AU"/>
        </w:rPr>
        <w:t xml:space="preserve">that name </w:t>
      </w:r>
      <w:r w:rsidR="00255065" w:rsidRPr="00BA27E1">
        <w:rPr>
          <w:lang w:val="en-AU" w:eastAsia="en-AU"/>
        </w:rPr>
        <w:t>must</w:t>
      </w:r>
      <w:r w:rsidRPr="00BA27E1">
        <w:rPr>
          <w:lang w:val="en-AU" w:eastAsia="en-AU"/>
        </w:rPr>
        <w:t xml:space="preserve"> be followed by a bracketed list of its ingredients (if the compound ingredient makes up more than 5% of the final food). </w:t>
      </w:r>
    </w:p>
    <w:p w14:paraId="1C7C908F" w14:textId="77777777" w:rsidR="00272092" w:rsidRDefault="00272092" w:rsidP="00F12492">
      <w:pPr>
        <w:rPr>
          <w:rFonts w:eastAsia="Times New Roman" w:cs="Arial"/>
          <w:color w:val="000000"/>
          <w:lang w:val="en-AU" w:eastAsia="en-AU"/>
        </w:rPr>
      </w:pPr>
    </w:p>
    <w:p w14:paraId="6996D3F6" w14:textId="77777777" w:rsidR="00FE7396" w:rsidRDefault="00FE7396">
      <w:pPr>
        <w:rPr>
          <w:rFonts w:eastAsia="Times New Roman" w:cs="Arial"/>
          <w:color w:val="000000"/>
          <w:lang w:val="en-AU" w:eastAsia="en-AU"/>
        </w:rPr>
      </w:pPr>
      <w:r>
        <w:rPr>
          <w:rFonts w:eastAsia="Times New Roman" w:cs="Arial"/>
          <w:color w:val="000000"/>
          <w:lang w:val="en-AU" w:eastAsia="en-AU"/>
        </w:rPr>
        <w:br w:type="page"/>
      </w:r>
    </w:p>
    <w:p w14:paraId="0857AA33" w14:textId="7E8C5B48" w:rsidR="00F12492" w:rsidRDefault="005400E0" w:rsidP="00F12492">
      <w:pPr>
        <w:rPr>
          <w:rFonts w:eastAsia="Times New Roman" w:cs="Arial"/>
          <w:color w:val="000000"/>
          <w:lang w:val="en-AU" w:eastAsia="en-AU"/>
        </w:rPr>
      </w:pPr>
      <w:r w:rsidRPr="003F59CE">
        <w:rPr>
          <w:rFonts w:eastAsia="Times New Roman" w:cs="Arial"/>
          <w:color w:val="000000"/>
          <w:lang w:val="en-AU" w:eastAsia="en-AU"/>
        </w:rPr>
        <w:lastRenderedPageBreak/>
        <w:t xml:space="preserve">Recommendation 12 does not indicate how </w:t>
      </w:r>
      <w:r w:rsidR="00D74A0A">
        <w:rPr>
          <w:rFonts w:eastAsia="Times New Roman" w:cs="Arial"/>
          <w:color w:val="000000"/>
          <w:lang w:val="en-AU" w:eastAsia="en-AU"/>
        </w:rPr>
        <w:t xml:space="preserve">added </w:t>
      </w:r>
      <w:r w:rsidRPr="003F59CE">
        <w:rPr>
          <w:rFonts w:eastAsia="Times New Roman" w:cs="Arial"/>
          <w:color w:val="000000"/>
          <w:lang w:val="en-AU" w:eastAsia="en-AU"/>
        </w:rPr>
        <w:t xml:space="preserve">sugars, fat or vegetable oil ingredients that make up a compound ingredient </w:t>
      </w:r>
      <w:r w:rsidR="0006698F">
        <w:rPr>
          <w:rFonts w:eastAsia="Times New Roman" w:cs="Arial"/>
          <w:color w:val="000000"/>
          <w:lang w:val="en-AU" w:eastAsia="en-AU"/>
        </w:rPr>
        <w:t>sh</w:t>
      </w:r>
      <w:r w:rsidRPr="003F59CE">
        <w:rPr>
          <w:rFonts w:eastAsia="Times New Roman" w:cs="Arial"/>
          <w:color w:val="000000"/>
          <w:lang w:val="en-AU" w:eastAsia="en-AU"/>
        </w:rPr>
        <w:t xml:space="preserve">ould be labelled. </w:t>
      </w:r>
      <w:r w:rsidR="001565F0">
        <w:rPr>
          <w:rFonts w:eastAsia="Times New Roman" w:cs="Arial"/>
          <w:color w:val="000000"/>
          <w:lang w:val="en-AU" w:eastAsia="en-AU"/>
        </w:rPr>
        <w:t xml:space="preserve">A determination on this matter would need to be made should the </w:t>
      </w:r>
      <w:r w:rsidR="00A271A5">
        <w:rPr>
          <w:rFonts w:eastAsia="Times New Roman" w:cs="Arial"/>
          <w:color w:val="000000"/>
          <w:lang w:val="en-AU" w:eastAsia="en-AU"/>
        </w:rPr>
        <w:t>r</w:t>
      </w:r>
      <w:r w:rsidR="001565F0">
        <w:rPr>
          <w:rFonts w:eastAsia="Times New Roman" w:cs="Arial"/>
          <w:color w:val="000000"/>
          <w:lang w:val="en-AU" w:eastAsia="en-AU"/>
        </w:rPr>
        <w:t>ecommendation be implemented. FSANZ has identified s</w:t>
      </w:r>
      <w:r w:rsidRPr="003F59CE">
        <w:rPr>
          <w:rFonts w:eastAsia="Times New Roman" w:cs="Arial"/>
          <w:color w:val="000000"/>
          <w:lang w:val="en-AU" w:eastAsia="en-AU"/>
        </w:rPr>
        <w:t xml:space="preserve">ome </w:t>
      </w:r>
      <w:r w:rsidR="00F12492">
        <w:rPr>
          <w:rFonts w:eastAsia="Times New Roman" w:cs="Arial"/>
          <w:color w:val="000000"/>
          <w:lang w:val="en-AU" w:eastAsia="en-AU"/>
        </w:rPr>
        <w:t xml:space="preserve">potential approaches and </w:t>
      </w:r>
      <w:r w:rsidR="00156B39">
        <w:rPr>
          <w:rFonts w:eastAsia="Times New Roman" w:cs="Arial"/>
          <w:color w:val="000000"/>
          <w:lang w:val="en-AU" w:eastAsia="en-AU"/>
        </w:rPr>
        <w:t>implications in relation to this matter</w:t>
      </w:r>
      <w:r w:rsidR="00255065">
        <w:rPr>
          <w:rFonts w:eastAsia="Times New Roman" w:cs="Arial"/>
          <w:color w:val="000000"/>
          <w:lang w:val="en-AU" w:eastAsia="en-AU"/>
        </w:rPr>
        <w:t xml:space="preserve"> as follows</w:t>
      </w:r>
      <w:r w:rsidR="001565F0">
        <w:rPr>
          <w:rFonts w:eastAsia="Times New Roman" w:cs="Arial"/>
          <w:color w:val="000000"/>
          <w:lang w:val="en-AU" w:eastAsia="en-AU"/>
        </w:rPr>
        <w:t>:</w:t>
      </w:r>
    </w:p>
    <w:p w14:paraId="103C5C88" w14:textId="77777777" w:rsidR="00F12492" w:rsidRDefault="00F12492" w:rsidP="00F12492">
      <w:pPr>
        <w:rPr>
          <w:rFonts w:eastAsia="Times New Roman" w:cs="Arial"/>
          <w:color w:val="000000"/>
          <w:lang w:val="en-AU" w:eastAsia="en-AU"/>
        </w:rPr>
      </w:pPr>
    </w:p>
    <w:p w14:paraId="1453CDA9" w14:textId="084006A6" w:rsidR="005400E0" w:rsidRDefault="005400E0" w:rsidP="00F12492">
      <w:pPr>
        <w:pStyle w:val="FSBullet1"/>
        <w:rPr>
          <w:lang w:val="en-AU" w:eastAsia="en-AU"/>
        </w:rPr>
      </w:pPr>
      <w:r w:rsidRPr="003F59CE">
        <w:rPr>
          <w:lang w:val="en-AU" w:eastAsia="en-AU"/>
        </w:rPr>
        <w:t>The existing option of listing a compound ingredient by name followed by a bracketed list of its ingredients may not be appropriate. Under th</w:t>
      </w:r>
      <w:r w:rsidR="00EB75A9">
        <w:rPr>
          <w:lang w:val="en-AU" w:eastAsia="en-AU"/>
        </w:rPr>
        <w:t xml:space="preserve">is </w:t>
      </w:r>
      <w:r w:rsidRPr="003F59CE">
        <w:rPr>
          <w:lang w:val="en-AU" w:eastAsia="en-AU"/>
        </w:rPr>
        <w:t xml:space="preserve">option, where a compound ingredient contains added sugars, fats or vegetable oil ingredients, these ingredients </w:t>
      </w:r>
      <w:r w:rsidR="00CF4589">
        <w:rPr>
          <w:lang w:val="en-AU" w:eastAsia="en-AU"/>
        </w:rPr>
        <w:t>must</w:t>
      </w:r>
      <w:r w:rsidR="00CF4589" w:rsidRPr="003F59CE">
        <w:rPr>
          <w:lang w:val="en-AU" w:eastAsia="en-AU"/>
        </w:rPr>
        <w:t xml:space="preserve"> </w:t>
      </w:r>
      <w:r w:rsidR="007B12CE">
        <w:rPr>
          <w:lang w:val="en-AU" w:eastAsia="en-AU"/>
        </w:rPr>
        <w:t xml:space="preserve">currently </w:t>
      </w:r>
      <w:r w:rsidRPr="003F59CE">
        <w:rPr>
          <w:lang w:val="en-AU" w:eastAsia="en-AU"/>
        </w:rPr>
        <w:t>be listed in brackets next to the compound ingredient name</w:t>
      </w:r>
      <w:r w:rsidR="001B7805">
        <w:rPr>
          <w:lang w:val="en-AU" w:eastAsia="en-AU"/>
        </w:rPr>
        <w:t xml:space="preserve">. </w:t>
      </w:r>
      <w:r w:rsidR="003B5CDA">
        <w:rPr>
          <w:lang w:val="en-AU" w:eastAsia="en-AU"/>
        </w:rPr>
        <w:t xml:space="preserve">It could be misleading to consumers if </w:t>
      </w:r>
      <w:r w:rsidR="001B7805">
        <w:rPr>
          <w:lang w:val="en-AU" w:eastAsia="en-AU"/>
        </w:rPr>
        <w:t>these ing</w:t>
      </w:r>
      <w:r w:rsidR="003B5CDA">
        <w:rPr>
          <w:lang w:val="en-AU" w:eastAsia="en-AU"/>
        </w:rPr>
        <w:t xml:space="preserve">redients were also listed in the </w:t>
      </w:r>
      <w:r w:rsidRPr="003F59CE">
        <w:rPr>
          <w:lang w:val="en-AU" w:eastAsia="en-AU"/>
        </w:rPr>
        <w:t>relevant ‘added sugars/fats/vegetable oils’ bracketed lists</w:t>
      </w:r>
      <w:r w:rsidR="007B12CE">
        <w:rPr>
          <w:lang w:val="en-AU" w:eastAsia="en-AU"/>
        </w:rPr>
        <w:t xml:space="preserve"> </w:t>
      </w:r>
      <w:r w:rsidR="003B5CDA">
        <w:rPr>
          <w:lang w:val="en-AU" w:eastAsia="en-AU"/>
        </w:rPr>
        <w:t xml:space="preserve">as </w:t>
      </w:r>
      <w:r w:rsidR="007B12CE">
        <w:rPr>
          <w:lang w:val="en-AU" w:eastAsia="en-AU"/>
        </w:rPr>
        <w:t xml:space="preserve">this would result in </w:t>
      </w:r>
      <w:r w:rsidR="00CF4589">
        <w:rPr>
          <w:lang w:val="en-AU" w:eastAsia="en-AU"/>
        </w:rPr>
        <w:t>dupli</w:t>
      </w:r>
      <w:r w:rsidR="00DF2F58">
        <w:rPr>
          <w:lang w:val="en-AU" w:eastAsia="en-AU"/>
        </w:rPr>
        <w:t xml:space="preserve">cation </w:t>
      </w:r>
      <w:r w:rsidR="00CF4589">
        <w:rPr>
          <w:lang w:val="en-AU" w:eastAsia="en-AU"/>
        </w:rPr>
        <w:t>o</w:t>
      </w:r>
      <w:r w:rsidR="00DF2F58">
        <w:rPr>
          <w:lang w:val="en-AU" w:eastAsia="en-AU"/>
        </w:rPr>
        <w:t>f</w:t>
      </w:r>
      <w:r w:rsidR="00CF4589">
        <w:rPr>
          <w:lang w:val="en-AU" w:eastAsia="en-AU"/>
        </w:rPr>
        <w:t xml:space="preserve"> the ingredients</w:t>
      </w:r>
      <w:r w:rsidR="00DF2F58">
        <w:rPr>
          <w:lang w:val="en-AU" w:eastAsia="en-AU"/>
        </w:rPr>
        <w:t xml:space="preserve"> in the statement of ingredients</w:t>
      </w:r>
      <w:r w:rsidR="001B7805">
        <w:rPr>
          <w:lang w:val="en-AU" w:eastAsia="en-AU"/>
        </w:rPr>
        <w:t xml:space="preserve">. However, if they were only listed next to the compound ingredient name, </w:t>
      </w:r>
      <w:r w:rsidRPr="003F59CE">
        <w:rPr>
          <w:lang w:val="en-AU" w:eastAsia="en-AU"/>
        </w:rPr>
        <w:t>the ‘added’ bracketed lists would not capture all of the added sugars, fat</w:t>
      </w:r>
      <w:r w:rsidR="001B7805">
        <w:rPr>
          <w:lang w:val="en-AU" w:eastAsia="en-AU"/>
        </w:rPr>
        <w:t>s</w:t>
      </w:r>
      <w:r w:rsidRPr="003F59CE">
        <w:rPr>
          <w:lang w:val="en-AU" w:eastAsia="en-AU"/>
        </w:rPr>
        <w:t xml:space="preserve"> or vegetable oil ingredients which make up the whole food. </w:t>
      </w:r>
    </w:p>
    <w:p w14:paraId="121DD47C" w14:textId="379335B0" w:rsidR="00B91159" w:rsidRDefault="00B91159" w:rsidP="00EB75A9">
      <w:pPr>
        <w:rPr>
          <w:lang w:val="en-AU" w:eastAsia="en-AU"/>
        </w:rPr>
      </w:pPr>
    </w:p>
    <w:p w14:paraId="03B288FC" w14:textId="02BCA3A8" w:rsidR="001C14CE" w:rsidRPr="003F59CE" w:rsidRDefault="005400E0" w:rsidP="00EB75A9">
      <w:pPr>
        <w:pStyle w:val="FSBullet1"/>
      </w:pPr>
      <w:r w:rsidRPr="003F59CE">
        <w:rPr>
          <w:lang w:val="en-AU" w:eastAsia="en-AU"/>
        </w:rPr>
        <w:t xml:space="preserve">Alternatively, </w:t>
      </w:r>
      <w:r w:rsidR="00043B03">
        <w:rPr>
          <w:lang w:val="en-AU" w:eastAsia="en-AU"/>
        </w:rPr>
        <w:t xml:space="preserve">for </w:t>
      </w:r>
      <w:r w:rsidRPr="003F59CE">
        <w:rPr>
          <w:lang w:val="en-AU" w:eastAsia="en-AU"/>
        </w:rPr>
        <w:t xml:space="preserve">a compound ingredient which contains added sugars, fat or vegetable oil ingredients, </w:t>
      </w:r>
      <w:r w:rsidR="00043B03">
        <w:rPr>
          <w:lang w:val="en-AU" w:eastAsia="en-AU"/>
        </w:rPr>
        <w:t xml:space="preserve">it </w:t>
      </w:r>
      <w:r w:rsidRPr="003F59CE">
        <w:rPr>
          <w:lang w:val="en-AU" w:eastAsia="en-AU"/>
        </w:rPr>
        <w:t>could be required to list each ingredient individually</w:t>
      </w:r>
      <w:r w:rsidR="00EB75A9">
        <w:rPr>
          <w:lang w:val="en-AU" w:eastAsia="en-AU"/>
        </w:rPr>
        <w:t xml:space="preserve"> as an ingredient of the food</w:t>
      </w:r>
      <w:r w:rsidRPr="003F59CE">
        <w:rPr>
          <w:lang w:val="en-AU" w:eastAsia="en-AU"/>
        </w:rPr>
        <w:t xml:space="preserve"> (i.e. the option of listing ingredients next to the name of the compound ingredient would not be permitted), with the relevant ingredients listed in the ‘added’ bracketed lists. However, this would mean that the ingoing weight of each individual ingredient of a compound ingredient in the context of the whole food would need to be </w:t>
      </w:r>
      <w:r w:rsidR="007A079F">
        <w:rPr>
          <w:lang w:val="en-AU" w:eastAsia="en-AU"/>
        </w:rPr>
        <w:t>determined</w:t>
      </w:r>
      <w:r w:rsidRPr="003F59CE">
        <w:rPr>
          <w:lang w:val="en-AU" w:eastAsia="en-AU"/>
        </w:rPr>
        <w:t xml:space="preserve"> by the </w:t>
      </w:r>
      <w:r w:rsidR="007A079F">
        <w:rPr>
          <w:lang w:val="en-AU" w:eastAsia="en-AU"/>
        </w:rPr>
        <w:t xml:space="preserve">food manufacturer at all times. </w:t>
      </w:r>
      <w:r w:rsidRPr="003F59CE">
        <w:rPr>
          <w:lang w:val="en-AU" w:eastAsia="en-AU"/>
        </w:rPr>
        <w:t xml:space="preserve">This could have </w:t>
      </w:r>
      <w:r w:rsidRPr="003F59CE">
        <w:rPr>
          <w:color w:val="000000"/>
          <w:lang w:val="en-AU" w:eastAsia="en-AU"/>
        </w:rPr>
        <w:t>impacts on manufacturers</w:t>
      </w:r>
      <w:r w:rsidR="00043B03">
        <w:rPr>
          <w:color w:val="000000"/>
          <w:lang w:val="en-AU" w:eastAsia="en-AU"/>
        </w:rPr>
        <w:t xml:space="preserve"> and ingredient suppliers</w:t>
      </w:r>
      <w:r w:rsidRPr="003F59CE">
        <w:rPr>
          <w:color w:val="000000"/>
          <w:lang w:val="en-AU" w:eastAsia="en-AU"/>
        </w:rPr>
        <w:t xml:space="preserve"> which would need to be assessed.</w:t>
      </w:r>
    </w:p>
    <w:p w14:paraId="1A801170" w14:textId="3802954E" w:rsidR="008223A8" w:rsidRDefault="00BA333C" w:rsidP="009C37D3">
      <w:pPr>
        <w:pStyle w:val="Heading2"/>
      </w:pPr>
      <w:bookmarkStart w:id="8" w:name="_Toc451937482"/>
      <w:r>
        <w:t>2</w:t>
      </w:r>
      <w:r w:rsidR="00696169">
        <w:t>.3</w:t>
      </w:r>
      <w:r w:rsidR="00CC33F8">
        <w:t xml:space="preserve"> </w:t>
      </w:r>
      <w:r w:rsidR="00CC33F8">
        <w:tab/>
      </w:r>
      <w:r w:rsidR="002F28BD">
        <w:t>Added sugars definition</w:t>
      </w:r>
      <w:bookmarkEnd w:id="8"/>
    </w:p>
    <w:p w14:paraId="20617EE6" w14:textId="43B8C4F7" w:rsidR="00C82F63" w:rsidRDefault="003346FD" w:rsidP="003346FD">
      <w:r>
        <w:t>Currently there is no definition for ‘added sugars’ in the Code</w:t>
      </w:r>
      <w:r w:rsidR="00D9237B">
        <w:t xml:space="preserve"> and </w:t>
      </w:r>
      <w:r w:rsidR="00FF0BB9">
        <w:t>no</w:t>
      </w:r>
      <w:r>
        <w:t xml:space="preserve"> </w:t>
      </w:r>
      <w:r w:rsidR="00DF2F58">
        <w:t xml:space="preserve">consistent </w:t>
      </w:r>
      <w:r w:rsidRPr="00882BBB">
        <w:t xml:space="preserve">definition for ‘added sugars’ </w:t>
      </w:r>
      <w:r w:rsidR="00496A48">
        <w:t xml:space="preserve">used </w:t>
      </w:r>
      <w:r w:rsidRPr="00882BBB">
        <w:t xml:space="preserve">internationally. </w:t>
      </w:r>
      <w:r w:rsidR="00E43C5A">
        <w:t xml:space="preserve">Should Recommendation 12 be implemented, </w:t>
      </w:r>
      <w:r w:rsidR="008223A8" w:rsidRPr="00882BBB">
        <w:t>FSANZ anticipates that a definition for</w:t>
      </w:r>
      <w:r w:rsidR="008223A8">
        <w:t xml:space="preserve"> ‘added sugars’ would need to be d</w:t>
      </w:r>
      <w:r w:rsidR="00D56681">
        <w:t xml:space="preserve">eveloped </w:t>
      </w:r>
      <w:r w:rsidR="00911B89">
        <w:t>in</w:t>
      </w:r>
      <w:r>
        <w:t xml:space="preserve"> the Code </w:t>
      </w:r>
      <w:r w:rsidR="00D56681">
        <w:t xml:space="preserve">for </w:t>
      </w:r>
      <w:r w:rsidR="003F3389">
        <w:t>ingredient labelling purposes</w:t>
      </w:r>
      <w:r w:rsidR="00E43C5A">
        <w:t>. This would clarify</w:t>
      </w:r>
      <w:r>
        <w:t xml:space="preserve"> which ingredients would be required to be listed in brackets following the ‘added sugars’ term</w:t>
      </w:r>
      <w:r w:rsidR="000A0F82">
        <w:t xml:space="preserve"> and ensure </w:t>
      </w:r>
      <w:r>
        <w:t>consistent</w:t>
      </w:r>
      <w:r w:rsidR="00AC1184">
        <w:t xml:space="preserve"> application of the</w:t>
      </w:r>
      <w:r>
        <w:t xml:space="preserve"> labelling </w:t>
      </w:r>
      <w:r w:rsidR="00AC1184">
        <w:t xml:space="preserve">requirements </w:t>
      </w:r>
      <w:r>
        <w:t>across food</w:t>
      </w:r>
      <w:r w:rsidR="000275D1">
        <w:t xml:space="preserve"> </w:t>
      </w:r>
      <w:r>
        <w:t>products</w:t>
      </w:r>
      <w:r w:rsidR="000044DF">
        <w:t xml:space="preserve"> with respect to ‘added sugars’</w:t>
      </w:r>
      <w:r w:rsidR="00E43C5A">
        <w:t xml:space="preserve"> ingredients</w:t>
      </w:r>
      <w:r>
        <w:t xml:space="preserve">. </w:t>
      </w:r>
    </w:p>
    <w:p w14:paraId="31E2CB28" w14:textId="047724CF" w:rsidR="003C1C98" w:rsidRDefault="00BA333C" w:rsidP="009C37D3">
      <w:pPr>
        <w:pStyle w:val="Heading3"/>
      </w:pPr>
      <w:r>
        <w:t>2</w:t>
      </w:r>
      <w:r w:rsidR="00696169">
        <w:t>.3</w:t>
      </w:r>
      <w:r w:rsidR="00127420">
        <w:t>.1</w:t>
      </w:r>
      <w:r w:rsidR="003C1C98">
        <w:tab/>
        <w:t xml:space="preserve">Existing Code provisions </w:t>
      </w:r>
      <w:r w:rsidR="004A2A79">
        <w:t>relating to</w:t>
      </w:r>
      <w:r w:rsidR="003C1C98">
        <w:t xml:space="preserve"> sugars</w:t>
      </w:r>
    </w:p>
    <w:p w14:paraId="734122E8" w14:textId="1060CA13" w:rsidR="00601E89" w:rsidRDefault="00F12955" w:rsidP="008223A8">
      <w:pPr>
        <w:rPr>
          <w:rFonts w:cs="Arial"/>
        </w:rPr>
      </w:pPr>
      <w:r>
        <w:t xml:space="preserve">In determining an ‘added sugars’ definition, </w:t>
      </w:r>
      <w:r w:rsidR="00911B89">
        <w:t>the</w:t>
      </w:r>
      <w:r>
        <w:t xml:space="preserve"> </w:t>
      </w:r>
      <w:r w:rsidR="008223A8">
        <w:t xml:space="preserve">existing </w:t>
      </w:r>
      <w:r w:rsidR="008D4327">
        <w:t>provisions</w:t>
      </w:r>
      <w:r w:rsidR="008223A8">
        <w:t xml:space="preserve"> </w:t>
      </w:r>
      <w:r w:rsidR="00B7192C">
        <w:t xml:space="preserve">in the Code </w:t>
      </w:r>
      <w:r w:rsidR="008223A8">
        <w:t>r</w:t>
      </w:r>
      <w:r w:rsidR="003C1C98">
        <w:t>elating to sugars</w:t>
      </w:r>
      <w:r w:rsidR="00595529">
        <w:t xml:space="preserve"> </w:t>
      </w:r>
      <w:r w:rsidR="008223A8">
        <w:t xml:space="preserve">would </w:t>
      </w:r>
      <w:r w:rsidR="00670B20">
        <w:t xml:space="preserve">need to </w:t>
      </w:r>
      <w:r w:rsidR="008223A8">
        <w:t>be considered</w:t>
      </w:r>
      <w:r w:rsidR="00D145ED">
        <w:t xml:space="preserve">. </w:t>
      </w:r>
      <w:r w:rsidR="008913F3">
        <w:t>T</w:t>
      </w:r>
      <w:r w:rsidR="00D145ED">
        <w:t>his</w:t>
      </w:r>
      <w:r w:rsidR="00911B89">
        <w:t xml:space="preserve"> includes</w:t>
      </w:r>
      <w:r w:rsidR="00D145ED">
        <w:t xml:space="preserve"> </w:t>
      </w:r>
      <w:r w:rsidR="00911B89">
        <w:t>the</w:t>
      </w:r>
      <w:r w:rsidR="00D145ED">
        <w:t xml:space="preserve"> </w:t>
      </w:r>
      <w:r w:rsidR="00EC5B29">
        <w:t xml:space="preserve">two </w:t>
      </w:r>
      <w:r w:rsidR="00D145ED">
        <w:t>definition</w:t>
      </w:r>
      <w:r w:rsidR="00D56681">
        <w:t>s</w:t>
      </w:r>
      <w:r w:rsidR="00911B89">
        <w:t xml:space="preserve"> for</w:t>
      </w:r>
      <w:r w:rsidR="00D145ED">
        <w:t xml:space="preserve"> ‘sugars’</w:t>
      </w:r>
      <w:r w:rsidR="006E4C2E">
        <w:t xml:space="preserve"> </w:t>
      </w:r>
      <w:r w:rsidR="00B42E06">
        <w:t>which serve</w:t>
      </w:r>
      <w:r w:rsidR="00156B39">
        <w:t xml:space="preserve"> different regulatory purposes</w:t>
      </w:r>
      <w:r w:rsidR="00911B89">
        <w:rPr>
          <w:rFonts w:cs="Arial"/>
        </w:rPr>
        <w:t xml:space="preserve"> </w:t>
      </w:r>
      <w:r w:rsidR="00B42E06">
        <w:rPr>
          <w:rFonts w:cs="Arial"/>
        </w:rPr>
        <w:t xml:space="preserve">(Standard 1.1.2) </w:t>
      </w:r>
      <w:r w:rsidR="00AB39F9">
        <w:rPr>
          <w:rFonts w:cs="Arial"/>
        </w:rPr>
        <w:t xml:space="preserve">and the conditions for </w:t>
      </w:r>
      <w:r w:rsidR="00A17A19">
        <w:rPr>
          <w:rFonts w:cs="Arial"/>
        </w:rPr>
        <w:t xml:space="preserve">making </w:t>
      </w:r>
      <w:r w:rsidR="00AB39F9">
        <w:rPr>
          <w:rFonts w:cs="Arial"/>
        </w:rPr>
        <w:t>a ‘no added sugar(s)’ nutrition content claim</w:t>
      </w:r>
      <w:r w:rsidR="00B42E06">
        <w:rPr>
          <w:rFonts w:cs="Arial"/>
        </w:rPr>
        <w:t xml:space="preserve"> (Schedule 4)</w:t>
      </w:r>
      <w:r w:rsidR="00AB39F9">
        <w:rPr>
          <w:rFonts w:cs="Arial"/>
        </w:rPr>
        <w:t>.</w:t>
      </w:r>
    </w:p>
    <w:p w14:paraId="2BA7B4EB" w14:textId="77777777" w:rsidR="00601E89" w:rsidRDefault="00601E89" w:rsidP="008223A8">
      <w:pPr>
        <w:rPr>
          <w:rFonts w:cs="Arial"/>
        </w:rPr>
      </w:pPr>
    </w:p>
    <w:p w14:paraId="0F8E3EE5" w14:textId="49F9B7D1" w:rsidR="002868FF" w:rsidRDefault="008913F3" w:rsidP="008223A8">
      <w:pPr>
        <w:rPr>
          <w:rFonts w:cs="Arial"/>
        </w:rPr>
      </w:pPr>
      <w:r>
        <w:t xml:space="preserve">As detailed in Table 1, </w:t>
      </w:r>
      <w:r w:rsidR="00EC5B29">
        <w:rPr>
          <w:rFonts w:cs="Arial"/>
        </w:rPr>
        <w:t>‘sugars’ is</w:t>
      </w:r>
      <w:r w:rsidR="00A17A19">
        <w:rPr>
          <w:rFonts w:cs="Arial"/>
        </w:rPr>
        <w:t xml:space="preserve"> </w:t>
      </w:r>
      <w:r w:rsidR="00FA1DA7">
        <w:rPr>
          <w:rFonts w:cs="Arial"/>
        </w:rPr>
        <w:t xml:space="preserve">firstly defined </w:t>
      </w:r>
      <w:r>
        <w:rPr>
          <w:rFonts w:cs="Arial"/>
        </w:rPr>
        <w:t xml:space="preserve">in Standard 1.1.2 </w:t>
      </w:r>
      <w:r w:rsidR="00FA1DA7">
        <w:rPr>
          <w:rFonts w:cs="Arial"/>
        </w:rPr>
        <w:t xml:space="preserve">as </w:t>
      </w:r>
      <w:r w:rsidR="00B7192C">
        <w:rPr>
          <w:rFonts w:cs="Arial"/>
        </w:rPr>
        <w:t>‘</w:t>
      </w:r>
      <w:r w:rsidR="00AB39F9">
        <w:rPr>
          <w:rFonts w:cs="Arial"/>
        </w:rPr>
        <w:t>monosaccharides and disaccharides</w:t>
      </w:r>
      <w:r w:rsidR="00B7192C">
        <w:rPr>
          <w:rFonts w:cs="Arial"/>
        </w:rPr>
        <w:t>’,</w:t>
      </w:r>
      <w:r w:rsidR="00AB39F9">
        <w:rPr>
          <w:rFonts w:cs="Arial"/>
        </w:rPr>
        <w:t xml:space="preserve"> </w:t>
      </w:r>
      <w:r w:rsidR="00911B89">
        <w:rPr>
          <w:rFonts w:cs="Arial"/>
        </w:rPr>
        <w:t>for the purpose of</w:t>
      </w:r>
      <w:r w:rsidR="00AB39F9">
        <w:rPr>
          <w:rFonts w:cs="Arial"/>
        </w:rPr>
        <w:t xml:space="preserve"> nutrition information labelling</w:t>
      </w:r>
      <w:r w:rsidR="00156B39">
        <w:rPr>
          <w:rFonts w:cs="Arial"/>
        </w:rPr>
        <w:t xml:space="preserve"> </w:t>
      </w:r>
      <w:r w:rsidR="00AB39F9">
        <w:rPr>
          <w:rFonts w:cs="Arial"/>
        </w:rPr>
        <w:t xml:space="preserve">and generally for </w:t>
      </w:r>
      <w:r w:rsidR="00156B39">
        <w:rPr>
          <w:rFonts w:cs="Arial"/>
        </w:rPr>
        <w:t xml:space="preserve">nutrition and health claims. A </w:t>
      </w:r>
      <w:r w:rsidR="00AB39F9">
        <w:rPr>
          <w:rFonts w:cs="Arial"/>
        </w:rPr>
        <w:t>second broader definition</w:t>
      </w:r>
      <w:r w:rsidR="00601E89">
        <w:rPr>
          <w:rFonts w:cs="Arial"/>
        </w:rPr>
        <w:t xml:space="preserve"> of ‘sugars’</w:t>
      </w:r>
      <w:r w:rsidR="00AB39F9">
        <w:rPr>
          <w:rFonts w:cs="Arial"/>
        </w:rPr>
        <w:t xml:space="preserve"> </w:t>
      </w:r>
      <w:r w:rsidR="00AB39F9">
        <w:t>(i.e.</w:t>
      </w:r>
      <w:r w:rsidR="00B7192C">
        <w:t xml:space="preserve"> it</w:t>
      </w:r>
      <w:r w:rsidR="00AB39F9">
        <w:t xml:space="preserve"> includes further products such as starch hydrolysate and maltodextrin) </w:t>
      </w:r>
      <w:r w:rsidR="00AB39F9">
        <w:rPr>
          <w:rFonts w:cs="Arial"/>
        </w:rPr>
        <w:t>applies otherwise across the Code and specifically as part of the conditions for a ‘no added sugar(s)’ nutrition content claim</w:t>
      </w:r>
      <w:r w:rsidR="003B2292">
        <w:rPr>
          <w:rFonts w:cs="Arial"/>
        </w:rPr>
        <w:t xml:space="preserve"> in Schedule 4</w:t>
      </w:r>
      <w:r w:rsidR="00AB39F9">
        <w:rPr>
          <w:rFonts w:cs="Arial"/>
        </w:rPr>
        <w:t>.</w:t>
      </w:r>
      <w:r w:rsidR="002D2478">
        <w:rPr>
          <w:rFonts w:cs="Arial"/>
        </w:rPr>
        <w:t xml:space="preserve"> </w:t>
      </w:r>
      <w:r w:rsidR="00A17A19">
        <w:rPr>
          <w:rFonts w:cs="Arial"/>
        </w:rPr>
        <w:t xml:space="preserve">The ‘no added sugar(s)’ claim conditions requires that a food contains no added ‘sugars’ (being the broader </w:t>
      </w:r>
      <w:r w:rsidR="00E87C47">
        <w:rPr>
          <w:rFonts w:cs="Arial"/>
        </w:rPr>
        <w:t xml:space="preserve">‘sugars’ </w:t>
      </w:r>
      <w:r w:rsidR="00A17A19">
        <w:rPr>
          <w:rFonts w:cs="Arial"/>
        </w:rPr>
        <w:t xml:space="preserve">definition in Standard 1.1.2) and additionally, no honey, malt or malt extracts, and no added concentrated fruit juice or deionised fruit juice (with exceptions for certain </w:t>
      </w:r>
      <w:r w:rsidR="002A6FC8">
        <w:rPr>
          <w:rFonts w:cs="Arial"/>
        </w:rPr>
        <w:t>beverages</w:t>
      </w:r>
      <w:r w:rsidR="00A17A19">
        <w:rPr>
          <w:rFonts w:cs="Arial"/>
        </w:rPr>
        <w:t>).</w:t>
      </w:r>
      <w:r w:rsidR="001C0FC6">
        <w:rPr>
          <w:rFonts w:cs="Arial"/>
        </w:rPr>
        <w:t xml:space="preserve"> </w:t>
      </w:r>
    </w:p>
    <w:p w14:paraId="23A58203" w14:textId="77777777" w:rsidR="00AB39F9" w:rsidRDefault="00AB39F9" w:rsidP="008223A8">
      <w:pPr>
        <w:rPr>
          <w:rFonts w:cs="Arial"/>
        </w:rPr>
      </w:pPr>
    </w:p>
    <w:p w14:paraId="590F83A4" w14:textId="77777777" w:rsidR="00FE7396" w:rsidRDefault="00FE7396">
      <w:pPr>
        <w:rPr>
          <w:rFonts w:cs="Arial"/>
        </w:rPr>
      </w:pPr>
      <w:r>
        <w:rPr>
          <w:rFonts w:cs="Arial"/>
        </w:rPr>
        <w:br w:type="page"/>
      </w:r>
    </w:p>
    <w:p w14:paraId="1E0B0135" w14:textId="73853A03" w:rsidR="00DE3B64" w:rsidRPr="00051563" w:rsidRDefault="00601E89" w:rsidP="008223A8">
      <w:pPr>
        <w:rPr>
          <w:rFonts w:cs="Arial"/>
        </w:rPr>
      </w:pPr>
      <w:r w:rsidRPr="00051563">
        <w:rPr>
          <w:rFonts w:cs="Arial"/>
        </w:rPr>
        <w:lastRenderedPageBreak/>
        <w:t>It</w:t>
      </w:r>
      <w:r w:rsidR="0075136E" w:rsidRPr="00051563">
        <w:rPr>
          <w:rFonts w:cs="Arial"/>
        </w:rPr>
        <w:t xml:space="preserve"> would be important to </w:t>
      </w:r>
      <w:r w:rsidR="009C004D" w:rsidRPr="00051563">
        <w:rPr>
          <w:rFonts w:cs="Arial"/>
        </w:rPr>
        <w:t>c</w:t>
      </w:r>
      <w:r w:rsidR="00CA5A1E" w:rsidRPr="00051563">
        <w:rPr>
          <w:rFonts w:cs="Arial"/>
        </w:rPr>
        <w:t>onsider</w:t>
      </w:r>
      <w:r w:rsidR="00920A7E" w:rsidRPr="00051563">
        <w:rPr>
          <w:rFonts w:cs="Arial"/>
        </w:rPr>
        <w:t xml:space="preserve"> </w:t>
      </w:r>
      <w:r w:rsidR="00190878" w:rsidRPr="00051563">
        <w:rPr>
          <w:rFonts w:cs="Arial"/>
        </w:rPr>
        <w:t>the</w:t>
      </w:r>
      <w:r w:rsidR="00C93236" w:rsidRPr="00051563">
        <w:rPr>
          <w:rFonts w:cs="Arial"/>
        </w:rPr>
        <w:t xml:space="preserve"> </w:t>
      </w:r>
      <w:r w:rsidR="00CA5A1E" w:rsidRPr="00051563">
        <w:rPr>
          <w:rFonts w:cs="Arial"/>
        </w:rPr>
        <w:t xml:space="preserve">implications of providing </w:t>
      </w:r>
      <w:r w:rsidR="00190878" w:rsidRPr="00051563">
        <w:rPr>
          <w:rFonts w:cs="Arial"/>
        </w:rPr>
        <w:t xml:space="preserve">added sugars </w:t>
      </w:r>
      <w:r w:rsidR="0075136E" w:rsidRPr="00051563">
        <w:rPr>
          <w:rFonts w:cs="Arial"/>
        </w:rPr>
        <w:t>information</w:t>
      </w:r>
      <w:r w:rsidR="00FA1DA7" w:rsidRPr="00051563">
        <w:rPr>
          <w:rFonts w:cs="Arial"/>
        </w:rPr>
        <w:t xml:space="preserve"> </w:t>
      </w:r>
      <w:r w:rsidR="00190878" w:rsidRPr="00051563">
        <w:rPr>
          <w:rFonts w:cs="Arial"/>
        </w:rPr>
        <w:t xml:space="preserve">in the </w:t>
      </w:r>
      <w:r w:rsidR="007A0751" w:rsidRPr="00051563">
        <w:rPr>
          <w:rFonts w:cs="Arial"/>
        </w:rPr>
        <w:t xml:space="preserve">statement of </w:t>
      </w:r>
      <w:r w:rsidR="00190878" w:rsidRPr="00051563">
        <w:rPr>
          <w:rFonts w:cs="Arial"/>
        </w:rPr>
        <w:t>ingredient</w:t>
      </w:r>
      <w:r w:rsidR="007A0751" w:rsidRPr="00051563">
        <w:rPr>
          <w:rFonts w:cs="Arial"/>
        </w:rPr>
        <w:t>s</w:t>
      </w:r>
      <w:r w:rsidR="0075136E" w:rsidRPr="00051563">
        <w:rPr>
          <w:rFonts w:cs="Arial"/>
        </w:rPr>
        <w:t xml:space="preserve"> </w:t>
      </w:r>
      <w:r w:rsidR="00CA5A1E" w:rsidRPr="00051563">
        <w:rPr>
          <w:rFonts w:cs="Arial"/>
        </w:rPr>
        <w:t xml:space="preserve">and </w:t>
      </w:r>
      <w:r w:rsidR="00051563">
        <w:rPr>
          <w:rFonts w:cs="Arial"/>
        </w:rPr>
        <w:t xml:space="preserve">the interaction with </w:t>
      </w:r>
      <w:r w:rsidR="002C0506" w:rsidRPr="00051563">
        <w:rPr>
          <w:rFonts w:cs="Arial"/>
        </w:rPr>
        <w:t xml:space="preserve">existing </w:t>
      </w:r>
      <w:r w:rsidR="00FA1DA7" w:rsidRPr="00051563">
        <w:rPr>
          <w:rFonts w:cs="Arial"/>
        </w:rPr>
        <w:t xml:space="preserve">labelling </w:t>
      </w:r>
      <w:r w:rsidR="00CA5A1E" w:rsidRPr="00051563">
        <w:rPr>
          <w:rFonts w:cs="Arial"/>
        </w:rPr>
        <w:t>information</w:t>
      </w:r>
      <w:r w:rsidR="0075136E" w:rsidRPr="00051563">
        <w:rPr>
          <w:rFonts w:cs="Arial"/>
        </w:rPr>
        <w:t>.</w:t>
      </w:r>
      <w:r w:rsidR="007823F3" w:rsidRPr="00051563">
        <w:rPr>
          <w:rFonts w:cs="Arial"/>
        </w:rPr>
        <w:t xml:space="preserve"> For </w:t>
      </w:r>
      <w:r w:rsidR="00FD1503" w:rsidRPr="00051563">
        <w:rPr>
          <w:rFonts w:cs="Arial"/>
        </w:rPr>
        <w:t>example</w:t>
      </w:r>
      <w:r w:rsidR="00595529" w:rsidRPr="00051563">
        <w:rPr>
          <w:rFonts w:cs="Arial"/>
        </w:rPr>
        <w:t xml:space="preserve">, </w:t>
      </w:r>
      <w:r w:rsidR="002C0506" w:rsidRPr="00051563">
        <w:rPr>
          <w:rFonts w:cs="Arial"/>
        </w:rPr>
        <w:t>if a food label provided</w:t>
      </w:r>
      <w:r w:rsidR="00595529" w:rsidRPr="00051563">
        <w:rPr>
          <w:rFonts w:cs="Arial"/>
        </w:rPr>
        <w:t xml:space="preserve"> a </w:t>
      </w:r>
      <w:r w:rsidR="00D9025D" w:rsidRPr="00051563">
        <w:rPr>
          <w:rFonts w:cs="Arial"/>
        </w:rPr>
        <w:t xml:space="preserve">bracketed </w:t>
      </w:r>
      <w:r w:rsidR="002C0506" w:rsidRPr="00051563">
        <w:rPr>
          <w:rFonts w:cs="Arial"/>
        </w:rPr>
        <w:t xml:space="preserve">list </w:t>
      </w:r>
      <w:r w:rsidR="00595529" w:rsidRPr="00051563">
        <w:rPr>
          <w:rFonts w:cs="Arial"/>
        </w:rPr>
        <w:t>of ‘added sugars’ in the</w:t>
      </w:r>
      <w:r w:rsidR="00B7192C" w:rsidRPr="00051563">
        <w:rPr>
          <w:rFonts w:cs="Arial"/>
        </w:rPr>
        <w:t xml:space="preserve"> statement of</w:t>
      </w:r>
      <w:r w:rsidR="00595529" w:rsidRPr="00051563">
        <w:rPr>
          <w:rFonts w:cs="Arial"/>
        </w:rPr>
        <w:t xml:space="preserve"> ingredient</w:t>
      </w:r>
      <w:r w:rsidR="00B7192C" w:rsidRPr="00051563">
        <w:rPr>
          <w:rFonts w:cs="Arial"/>
        </w:rPr>
        <w:t>s</w:t>
      </w:r>
      <w:r w:rsidR="00C93236" w:rsidRPr="00051563">
        <w:rPr>
          <w:rFonts w:cs="Arial"/>
        </w:rPr>
        <w:t xml:space="preserve"> (subject to the definition determined)</w:t>
      </w:r>
      <w:r w:rsidR="00AB1CFA">
        <w:rPr>
          <w:rFonts w:cs="Arial"/>
        </w:rPr>
        <w:t xml:space="preserve"> and also </w:t>
      </w:r>
      <w:r w:rsidR="00AB1CFA" w:rsidRPr="00051563">
        <w:rPr>
          <w:rFonts w:cs="Arial"/>
        </w:rPr>
        <w:t>included a ‘no added sugar’ claim</w:t>
      </w:r>
      <w:r w:rsidR="002C0506" w:rsidRPr="00051563">
        <w:rPr>
          <w:rFonts w:cs="Arial"/>
        </w:rPr>
        <w:t>, this</w:t>
      </w:r>
      <w:r w:rsidR="00595529" w:rsidRPr="00051563">
        <w:rPr>
          <w:rFonts w:cs="Arial"/>
        </w:rPr>
        <w:t xml:space="preserve"> </w:t>
      </w:r>
      <w:r w:rsidR="00565638" w:rsidRPr="00051563">
        <w:rPr>
          <w:rFonts w:cs="Arial"/>
        </w:rPr>
        <w:t>could</w:t>
      </w:r>
      <w:r w:rsidR="00496A48" w:rsidRPr="00051563">
        <w:rPr>
          <w:rFonts w:cs="Arial"/>
        </w:rPr>
        <w:t xml:space="preserve"> potentially</w:t>
      </w:r>
      <w:r w:rsidR="00595529" w:rsidRPr="00051563">
        <w:rPr>
          <w:rFonts w:cs="Arial"/>
        </w:rPr>
        <w:t xml:space="preserve"> </w:t>
      </w:r>
      <w:r w:rsidR="00AB1CFA">
        <w:rPr>
          <w:rFonts w:cs="Arial"/>
        </w:rPr>
        <w:t>result in</w:t>
      </w:r>
      <w:r w:rsidR="00C93236" w:rsidRPr="00051563">
        <w:rPr>
          <w:rFonts w:cs="Arial"/>
        </w:rPr>
        <w:t xml:space="preserve"> </w:t>
      </w:r>
      <w:r w:rsidR="00550228" w:rsidRPr="00051563">
        <w:rPr>
          <w:rFonts w:cs="Arial"/>
        </w:rPr>
        <w:t>some</w:t>
      </w:r>
      <w:r w:rsidR="00595529" w:rsidRPr="00051563">
        <w:rPr>
          <w:rFonts w:cs="Arial"/>
        </w:rPr>
        <w:t xml:space="preserve"> consumer confusion. This </w:t>
      </w:r>
      <w:r w:rsidR="00481710" w:rsidRPr="00051563">
        <w:rPr>
          <w:rFonts w:cs="Arial"/>
        </w:rPr>
        <w:t>suggests</w:t>
      </w:r>
      <w:r w:rsidR="00595529" w:rsidRPr="00051563">
        <w:rPr>
          <w:rFonts w:cs="Arial"/>
        </w:rPr>
        <w:t xml:space="preserve"> that the definition of ‘added sugars’ for ingredient labelling </w:t>
      </w:r>
      <w:r w:rsidR="00DE3B64" w:rsidRPr="00051563">
        <w:rPr>
          <w:rFonts w:cs="Arial"/>
        </w:rPr>
        <w:t>purposes</w:t>
      </w:r>
      <w:r w:rsidR="00EE381D" w:rsidRPr="00051563">
        <w:rPr>
          <w:rFonts w:cs="Arial"/>
        </w:rPr>
        <w:t xml:space="preserve"> and</w:t>
      </w:r>
      <w:r w:rsidR="00642B35" w:rsidRPr="00051563">
        <w:rPr>
          <w:rFonts w:cs="Arial"/>
        </w:rPr>
        <w:t xml:space="preserve"> </w:t>
      </w:r>
      <w:r w:rsidR="00EE381D" w:rsidRPr="00051563">
        <w:rPr>
          <w:rFonts w:cs="Arial"/>
        </w:rPr>
        <w:t xml:space="preserve">the existing conditions for a ‘no added sugar(s)’ claim </w:t>
      </w:r>
      <w:r w:rsidR="00642B35" w:rsidRPr="00051563">
        <w:rPr>
          <w:rFonts w:cs="Arial"/>
        </w:rPr>
        <w:t>would need</w:t>
      </w:r>
      <w:r w:rsidR="00565638" w:rsidRPr="00051563">
        <w:rPr>
          <w:rFonts w:cs="Arial"/>
        </w:rPr>
        <w:t xml:space="preserve"> to be consistent</w:t>
      </w:r>
      <w:r w:rsidR="007A079F" w:rsidRPr="00051563">
        <w:rPr>
          <w:rFonts w:cs="Arial"/>
        </w:rPr>
        <w:t xml:space="preserve">, or the </w:t>
      </w:r>
      <w:r w:rsidR="00576650" w:rsidRPr="00051563">
        <w:rPr>
          <w:rFonts w:cs="Arial"/>
        </w:rPr>
        <w:t>claim conditions</w:t>
      </w:r>
      <w:r w:rsidR="007A079F" w:rsidRPr="00051563">
        <w:rPr>
          <w:rFonts w:cs="Arial"/>
        </w:rPr>
        <w:t xml:space="preserve"> amended</w:t>
      </w:r>
      <w:r w:rsidR="00576650" w:rsidRPr="00051563">
        <w:rPr>
          <w:rFonts w:cs="Arial"/>
        </w:rPr>
        <w:t>.</w:t>
      </w:r>
      <w:r w:rsidR="00EE381D" w:rsidRPr="00051563">
        <w:rPr>
          <w:rFonts w:cs="Arial"/>
        </w:rPr>
        <w:t xml:space="preserve"> T</w:t>
      </w:r>
      <w:r w:rsidR="00565638" w:rsidRPr="00051563">
        <w:rPr>
          <w:rFonts w:cs="Arial"/>
        </w:rPr>
        <w:t>he implic</w:t>
      </w:r>
      <w:r w:rsidR="009A5A3B" w:rsidRPr="00051563">
        <w:rPr>
          <w:rFonts w:cs="Arial"/>
        </w:rPr>
        <w:t xml:space="preserve">ations of </w:t>
      </w:r>
      <w:r w:rsidR="00EE381D" w:rsidRPr="00051563">
        <w:rPr>
          <w:rFonts w:cs="Arial"/>
        </w:rPr>
        <w:t>changes to the ‘no added sugar(s)</w:t>
      </w:r>
      <w:r w:rsidR="00576650" w:rsidRPr="00051563">
        <w:rPr>
          <w:rFonts w:cs="Arial"/>
        </w:rPr>
        <w:t>’</w:t>
      </w:r>
      <w:r w:rsidR="00EE381D" w:rsidRPr="00051563">
        <w:rPr>
          <w:rFonts w:cs="Arial"/>
        </w:rPr>
        <w:t xml:space="preserve"> claim</w:t>
      </w:r>
      <w:r w:rsidR="00576650" w:rsidRPr="00051563">
        <w:rPr>
          <w:rFonts w:cs="Arial"/>
        </w:rPr>
        <w:t xml:space="preserve"> conditions</w:t>
      </w:r>
      <w:r w:rsidR="00EE381D" w:rsidRPr="00051563">
        <w:rPr>
          <w:rFonts w:cs="Arial"/>
        </w:rPr>
        <w:t>, if any, would need to be considered</w:t>
      </w:r>
      <w:r w:rsidR="00576650" w:rsidRPr="00051563">
        <w:rPr>
          <w:rFonts w:cs="Arial"/>
        </w:rPr>
        <w:t xml:space="preserve">. </w:t>
      </w:r>
      <w:r w:rsidR="00E82AE5" w:rsidRPr="00051563">
        <w:rPr>
          <w:rFonts w:cs="Arial"/>
        </w:rPr>
        <w:t>Similar</w:t>
      </w:r>
      <w:r w:rsidR="00496A48" w:rsidRPr="00051563">
        <w:rPr>
          <w:rFonts w:cs="Arial"/>
        </w:rPr>
        <w:t>ly, consideration of</w:t>
      </w:r>
      <w:r w:rsidR="00E82AE5" w:rsidRPr="00051563">
        <w:rPr>
          <w:rFonts w:cs="Arial"/>
        </w:rPr>
        <w:t xml:space="preserve"> </w:t>
      </w:r>
      <w:r w:rsidR="00576650" w:rsidRPr="00051563">
        <w:rPr>
          <w:rFonts w:cs="Arial"/>
        </w:rPr>
        <w:t>any potential conflict or impacts on the</w:t>
      </w:r>
      <w:r w:rsidR="00E82AE5" w:rsidRPr="00051563">
        <w:rPr>
          <w:rFonts w:cs="Arial"/>
        </w:rPr>
        <w:t xml:space="preserve"> </w:t>
      </w:r>
      <w:r w:rsidR="00F61E9D" w:rsidRPr="00051563">
        <w:rPr>
          <w:rFonts w:cs="Arial"/>
        </w:rPr>
        <w:t>‘uns</w:t>
      </w:r>
      <w:r w:rsidR="00E82AE5" w:rsidRPr="00051563">
        <w:rPr>
          <w:rFonts w:cs="Arial"/>
        </w:rPr>
        <w:t xml:space="preserve">weetened’ and ‘low’ sugar </w:t>
      </w:r>
      <w:r w:rsidR="00496A48" w:rsidRPr="00051563">
        <w:rPr>
          <w:rFonts w:cs="Arial"/>
        </w:rPr>
        <w:t>claim conditions in Schedule 4 (</w:t>
      </w:r>
      <w:r w:rsidR="00F61E9D" w:rsidRPr="00051563">
        <w:rPr>
          <w:rFonts w:cs="Arial"/>
        </w:rPr>
        <w:t>identified in Table 1</w:t>
      </w:r>
      <w:r w:rsidR="00496A48" w:rsidRPr="00051563">
        <w:rPr>
          <w:rFonts w:cs="Arial"/>
        </w:rPr>
        <w:t>) would likely also be required</w:t>
      </w:r>
      <w:r w:rsidR="00F61E9D" w:rsidRPr="00051563">
        <w:rPr>
          <w:rFonts w:cs="Arial"/>
        </w:rPr>
        <w:t>.</w:t>
      </w:r>
    </w:p>
    <w:p w14:paraId="427607CF" w14:textId="0E57C012" w:rsidR="00B91159" w:rsidRPr="00051563" w:rsidRDefault="00B91159" w:rsidP="008223A8">
      <w:pPr>
        <w:rPr>
          <w:rFonts w:cs="Arial"/>
        </w:rPr>
      </w:pPr>
    </w:p>
    <w:p w14:paraId="7AD10A25" w14:textId="77777777" w:rsidR="0044114A" w:rsidRPr="00051563" w:rsidRDefault="00F23127" w:rsidP="00665F3B">
      <w:pPr>
        <w:rPr>
          <w:rFonts w:cs="Arial"/>
        </w:rPr>
      </w:pPr>
      <w:r w:rsidRPr="00051563">
        <w:rPr>
          <w:rFonts w:cs="Arial"/>
        </w:rPr>
        <w:t>The</w:t>
      </w:r>
      <w:r w:rsidR="008F162B" w:rsidRPr="00051563">
        <w:rPr>
          <w:rFonts w:cs="Arial"/>
        </w:rPr>
        <w:t xml:space="preserve"> </w:t>
      </w:r>
      <w:r w:rsidR="00F75D5C" w:rsidRPr="00051563">
        <w:rPr>
          <w:rFonts w:cs="Arial"/>
        </w:rPr>
        <w:t>implications</w:t>
      </w:r>
      <w:r w:rsidR="008F162B" w:rsidRPr="00051563">
        <w:rPr>
          <w:rFonts w:cs="Arial"/>
        </w:rPr>
        <w:t xml:space="preserve"> of the </w:t>
      </w:r>
      <w:r w:rsidR="00BD181A" w:rsidRPr="00051563">
        <w:rPr>
          <w:rFonts w:cs="Arial"/>
        </w:rPr>
        <w:t>‘</w:t>
      </w:r>
      <w:r w:rsidR="008F162B" w:rsidRPr="00051563">
        <w:rPr>
          <w:rFonts w:cs="Arial"/>
        </w:rPr>
        <w:t>added sugars</w:t>
      </w:r>
      <w:r w:rsidR="00BD181A" w:rsidRPr="00051563">
        <w:rPr>
          <w:rFonts w:cs="Arial"/>
        </w:rPr>
        <w:t>’</w:t>
      </w:r>
      <w:r w:rsidR="008F162B" w:rsidRPr="00051563">
        <w:rPr>
          <w:rFonts w:cs="Arial"/>
        </w:rPr>
        <w:t xml:space="preserve"> </w:t>
      </w:r>
      <w:r w:rsidR="00601E89" w:rsidRPr="00051563">
        <w:rPr>
          <w:rFonts w:cs="Arial"/>
        </w:rPr>
        <w:t xml:space="preserve">that would be </w:t>
      </w:r>
      <w:r w:rsidR="00BF2D6E" w:rsidRPr="00051563">
        <w:rPr>
          <w:rFonts w:cs="Arial"/>
        </w:rPr>
        <w:t xml:space="preserve">listed </w:t>
      </w:r>
      <w:r w:rsidR="008F162B" w:rsidRPr="00051563">
        <w:rPr>
          <w:rFonts w:cs="Arial"/>
        </w:rPr>
        <w:t xml:space="preserve">in the </w:t>
      </w:r>
      <w:r w:rsidR="008B04EE" w:rsidRPr="00051563">
        <w:rPr>
          <w:rFonts w:cs="Arial"/>
        </w:rPr>
        <w:t>statement of</w:t>
      </w:r>
      <w:r w:rsidR="008F162B" w:rsidRPr="00051563">
        <w:rPr>
          <w:rFonts w:cs="Arial"/>
        </w:rPr>
        <w:t xml:space="preserve"> ingredient</w:t>
      </w:r>
      <w:r w:rsidR="008B04EE" w:rsidRPr="00051563">
        <w:rPr>
          <w:rFonts w:cs="Arial"/>
        </w:rPr>
        <w:t>s</w:t>
      </w:r>
      <w:r w:rsidR="008F162B" w:rsidRPr="00051563">
        <w:rPr>
          <w:rFonts w:cs="Arial"/>
        </w:rPr>
        <w:t xml:space="preserve"> </w:t>
      </w:r>
      <w:r w:rsidR="004A2A79" w:rsidRPr="00051563">
        <w:rPr>
          <w:rFonts w:cs="Arial"/>
        </w:rPr>
        <w:t>a</w:t>
      </w:r>
      <w:r w:rsidRPr="00051563">
        <w:rPr>
          <w:rFonts w:cs="Arial"/>
        </w:rPr>
        <w:t>nd</w:t>
      </w:r>
      <w:r w:rsidR="008F162B" w:rsidRPr="00051563">
        <w:rPr>
          <w:rFonts w:cs="Arial"/>
        </w:rPr>
        <w:t xml:space="preserve"> the amount</w:t>
      </w:r>
      <w:r w:rsidR="00550228" w:rsidRPr="00051563">
        <w:rPr>
          <w:rFonts w:cs="Arial"/>
        </w:rPr>
        <w:t xml:space="preserve"> of </w:t>
      </w:r>
      <w:r w:rsidR="00C91AF9" w:rsidRPr="00051563">
        <w:rPr>
          <w:rFonts w:cs="Arial"/>
        </w:rPr>
        <w:t>‘</w:t>
      </w:r>
      <w:r w:rsidR="00550228" w:rsidRPr="00051563">
        <w:rPr>
          <w:rFonts w:cs="Arial"/>
        </w:rPr>
        <w:t>sugars</w:t>
      </w:r>
      <w:r w:rsidR="00C91AF9" w:rsidRPr="00051563">
        <w:rPr>
          <w:rFonts w:cs="Arial"/>
        </w:rPr>
        <w:t>’</w:t>
      </w:r>
      <w:r w:rsidR="004A2A79" w:rsidRPr="00051563">
        <w:rPr>
          <w:rFonts w:cs="Arial"/>
        </w:rPr>
        <w:t xml:space="preserve"> (in grams)</w:t>
      </w:r>
      <w:r w:rsidR="008F162B" w:rsidRPr="00051563">
        <w:rPr>
          <w:rFonts w:cs="Arial"/>
        </w:rPr>
        <w:t xml:space="preserve"> declared in the </w:t>
      </w:r>
      <w:r w:rsidR="00C91AF9" w:rsidRPr="00051563">
        <w:rPr>
          <w:rFonts w:cs="Arial"/>
        </w:rPr>
        <w:t>NIP</w:t>
      </w:r>
      <w:r w:rsidR="00795C38" w:rsidRPr="00051563">
        <w:rPr>
          <w:rFonts w:cs="Arial"/>
        </w:rPr>
        <w:t xml:space="preserve"> </w:t>
      </w:r>
      <w:r w:rsidR="00C91AF9" w:rsidRPr="00051563">
        <w:rPr>
          <w:rFonts w:cs="Arial"/>
        </w:rPr>
        <w:t>would</w:t>
      </w:r>
      <w:r w:rsidR="00550228" w:rsidRPr="00051563">
        <w:rPr>
          <w:rFonts w:cs="Arial"/>
        </w:rPr>
        <w:t xml:space="preserve"> also need to be</w:t>
      </w:r>
      <w:r w:rsidR="008F162B" w:rsidRPr="00051563">
        <w:rPr>
          <w:rFonts w:cs="Arial"/>
        </w:rPr>
        <w:t xml:space="preserve"> considered</w:t>
      </w:r>
      <w:r w:rsidR="00C91AF9" w:rsidRPr="00051563">
        <w:rPr>
          <w:rFonts w:cs="Arial"/>
        </w:rPr>
        <w:t xml:space="preserve">. </w:t>
      </w:r>
      <w:r w:rsidR="00795C38" w:rsidRPr="00051563">
        <w:rPr>
          <w:rFonts w:cs="Arial"/>
        </w:rPr>
        <w:t xml:space="preserve">The amount of sugars </w:t>
      </w:r>
      <w:r w:rsidR="00F75D5C" w:rsidRPr="00051563">
        <w:rPr>
          <w:rFonts w:cs="Arial"/>
        </w:rPr>
        <w:t>declared in the NIP is</w:t>
      </w:r>
      <w:r w:rsidR="00795C38" w:rsidRPr="00051563">
        <w:rPr>
          <w:rFonts w:cs="Arial"/>
        </w:rPr>
        <w:t xml:space="preserve"> based on the </w:t>
      </w:r>
      <w:r w:rsidR="00B456F9" w:rsidRPr="00051563">
        <w:rPr>
          <w:rFonts w:cs="Arial"/>
        </w:rPr>
        <w:t xml:space="preserve">total </w:t>
      </w:r>
      <w:r w:rsidR="008B04EE" w:rsidRPr="00051563">
        <w:rPr>
          <w:rFonts w:cs="Arial"/>
        </w:rPr>
        <w:t>amount of</w:t>
      </w:r>
      <w:r w:rsidR="00795C38" w:rsidRPr="00051563">
        <w:rPr>
          <w:rFonts w:cs="Arial"/>
        </w:rPr>
        <w:t xml:space="preserve"> monosaccharides and disaccharides</w:t>
      </w:r>
      <w:r w:rsidR="00B456F9" w:rsidRPr="00051563">
        <w:rPr>
          <w:rFonts w:cs="Arial"/>
        </w:rPr>
        <w:t xml:space="preserve"> </w:t>
      </w:r>
      <w:r w:rsidR="00190FEC" w:rsidRPr="00051563">
        <w:rPr>
          <w:rFonts w:cs="Arial"/>
        </w:rPr>
        <w:t>both</w:t>
      </w:r>
      <w:r w:rsidR="002E3D61" w:rsidRPr="00051563">
        <w:rPr>
          <w:rFonts w:cs="Arial"/>
        </w:rPr>
        <w:t xml:space="preserve"> </w:t>
      </w:r>
      <w:r w:rsidR="00B456F9" w:rsidRPr="00051563">
        <w:rPr>
          <w:rFonts w:cs="Arial"/>
        </w:rPr>
        <w:t>naturally occurring and added to the food</w:t>
      </w:r>
      <w:r w:rsidR="00601E89" w:rsidRPr="00051563">
        <w:rPr>
          <w:rFonts w:cs="Arial"/>
        </w:rPr>
        <w:t xml:space="preserve"> (i.e. first definition of ‘sugars’ in Standard 1.1.2)</w:t>
      </w:r>
      <w:r w:rsidR="00795C38" w:rsidRPr="00051563">
        <w:rPr>
          <w:rFonts w:cs="Arial"/>
        </w:rPr>
        <w:t xml:space="preserve">. </w:t>
      </w:r>
      <w:r w:rsidR="002E3D61" w:rsidRPr="00051563">
        <w:rPr>
          <w:rFonts w:cs="Arial"/>
        </w:rPr>
        <w:t xml:space="preserve">It is not currently known if consumers would understand the difference between ‘added sugars’ in the </w:t>
      </w:r>
      <w:r w:rsidR="007A0751" w:rsidRPr="00051563">
        <w:rPr>
          <w:rFonts w:cs="Arial"/>
        </w:rPr>
        <w:t xml:space="preserve">statement of </w:t>
      </w:r>
      <w:r w:rsidR="002E3D61" w:rsidRPr="00051563">
        <w:rPr>
          <w:rFonts w:cs="Arial"/>
        </w:rPr>
        <w:t>ingredient</w:t>
      </w:r>
      <w:r w:rsidR="007A0751" w:rsidRPr="00051563">
        <w:rPr>
          <w:rFonts w:cs="Arial"/>
        </w:rPr>
        <w:t>s</w:t>
      </w:r>
      <w:r w:rsidR="002E3D61" w:rsidRPr="00051563">
        <w:rPr>
          <w:rFonts w:cs="Arial"/>
        </w:rPr>
        <w:t xml:space="preserve"> and ‘sugars’ in the NIP. </w:t>
      </w:r>
    </w:p>
    <w:p w14:paraId="1F43FD43" w14:textId="77777777" w:rsidR="0044114A" w:rsidRPr="00051563" w:rsidRDefault="0044114A" w:rsidP="00665F3B">
      <w:pPr>
        <w:rPr>
          <w:rFonts w:cs="Arial"/>
        </w:rPr>
      </w:pPr>
    </w:p>
    <w:p w14:paraId="1DCB4B6C" w14:textId="5116F2A4" w:rsidR="00665F3B" w:rsidRDefault="00F75D5C" w:rsidP="00665F3B">
      <w:r w:rsidRPr="00051563">
        <w:rPr>
          <w:rFonts w:cs="Arial"/>
        </w:rPr>
        <w:t>S</w:t>
      </w:r>
      <w:r w:rsidR="00C91AF9" w:rsidRPr="00051563">
        <w:rPr>
          <w:rFonts w:cs="Arial"/>
        </w:rPr>
        <w:t xml:space="preserve">ubject to the </w:t>
      </w:r>
      <w:r w:rsidR="002E456B" w:rsidRPr="00051563">
        <w:rPr>
          <w:rFonts w:cs="Arial"/>
        </w:rPr>
        <w:t>‘added sugars’ definition determined</w:t>
      </w:r>
      <w:r w:rsidR="00795C38" w:rsidRPr="00051563">
        <w:rPr>
          <w:rFonts w:cs="Arial"/>
        </w:rPr>
        <w:t xml:space="preserve"> for ingredient labelling</w:t>
      </w:r>
      <w:r w:rsidR="004A2A79" w:rsidRPr="00051563">
        <w:rPr>
          <w:rFonts w:cs="Arial"/>
        </w:rPr>
        <w:t>, the</w:t>
      </w:r>
      <w:r w:rsidR="00C91AF9" w:rsidRPr="00051563">
        <w:rPr>
          <w:rFonts w:cs="Arial"/>
        </w:rPr>
        <w:t xml:space="preserve"> </w:t>
      </w:r>
      <w:r w:rsidR="00C354B1" w:rsidRPr="00051563">
        <w:rPr>
          <w:rFonts w:cs="Arial"/>
        </w:rPr>
        <w:t>bracketed</w:t>
      </w:r>
      <w:r w:rsidR="00C91AF9" w:rsidRPr="00051563">
        <w:rPr>
          <w:rFonts w:cs="Arial"/>
        </w:rPr>
        <w:t xml:space="preserve"> list </w:t>
      </w:r>
      <w:r w:rsidR="004A2A79" w:rsidRPr="00051563">
        <w:rPr>
          <w:rFonts w:cs="Arial"/>
        </w:rPr>
        <w:t xml:space="preserve">of added sugars </w:t>
      </w:r>
      <w:r w:rsidR="00A36258" w:rsidRPr="00051563">
        <w:rPr>
          <w:rFonts w:cs="Arial"/>
        </w:rPr>
        <w:t>in the</w:t>
      </w:r>
      <w:r w:rsidR="002E3D61" w:rsidRPr="00051563">
        <w:rPr>
          <w:rFonts w:cs="Arial"/>
        </w:rPr>
        <w:t xml:space="preserve"> statement of </w:t>
      </w:r>
      <w:r w:rsidR="00A36258" w:rsidRPr="00051563">
        <w:rPr>
          <w:rFonts w:cs="Arial"/>
        </w:rPr>
        <w:t>ingredient</w:t>
      </w:r>
      <w:r w:rsidR="002E3D61" w:rsidRPr="00051563">
        <w:rPr>
          <w:rFonts w:cs="Arial"/>
        </w:rPr>
        <w:t>s</w:t>
      </w:r>
      <w:r w:rsidR="00A36258" w:rsidRPr="00051563">
        <w:rPr>
          <w:rFonts w:cs="Arial"/>
        </w:rPr>
        <w:t xml:space="preserve"> </w:t>
      </w:r>
      <w:r w:rsidR="00C91AF9" w:rsidRPr="00051563">
        <w:rPr>
          <w:rFonts w:cs="Arial"/>
        </w:rPr>
        <w:t xml:space="preserve">could include ingredients </w:t>
      </w:r>
      <w:r w:rsidR="00795C38" w:rsidRPr="00051563">
        <w:rPr>
          <w:rFonts w:cs="Arial"/>
        </w:rPr>
        <w:t xml:space="preserve">(e.g. maltodextrin) </w:t>
      </w:r>
      <w:r w:rsidR="00C91AF9" w:rsidRPr="00051563">
        <w:rPr>
          <w:rFonts w:cs="Arial"/>
        </w:rPr>
        <w:t xml:space="preserve">that </w:t>
      </w:r>
      <w:r w:rsidR="00795C38" w:rsidRPr="00051563">
        <w:rPr>
          <w:rFonts w:cs="Arial"/>
        </w:rPr>
        <w:t xml:space="preserve">are not captured in the </w:t>
      </w:r>
      <w:r w:rsidR="00E87C47" w:rsidRPr="00051563">
        <w:rPr>
          <w:rFonts w:cs="Arial"/>
        </w:rPr>
        <w:t xml:space="preserve">total </w:t>
      </w:r>
      <w:r w:rsidR="00795C38" w:rsidRPr="00051563">
        <w:rPr>
          <w:rFonts w:cs="Arial"/>
        </w:rPr>
        <w:t xml:space="preserve">amount </w:t>
      </w:r>
      <w:r w:rsidR="00601E89" w:rsidRPr="00051563">
        <w:rPr>
          <w:rFonts w:cs="Arial"/>
        </w:rPr>
        <w:t xml:space="preserve">of sugars </w:t>
      </w:r>
      <w:r w:rsidR="00795C38" w:rsidRPr="00051563">
        <w:rPr>
          <w:rFonts w:cs="Arial"/>
        </w:rPr>
        <w:t xml:space="preserve">declared in the NIP. </w:t>
      </w:r>
      <w:r w:rsidR="00DE1B4F" w:rsidRPr="00051563">
        <w:rPr>
          <w:rFonts w:cs="Arial"/>
        </w:rPr>
        <w:t>It would be important to consider any potential implications</w:t>
      </w:r>
      <w:r w:rsidR="00C354B1" w:rsidRPr="00051563">
        <w:rPr>
          <w:rFonts w:cs="Arial"/>
        </w:rPr>
        <w:t xml:space="preserve"> of this</w:t>
      </w:r>
      <w:r w:rsidR="00DE1B4F" w:rsidRPr="00051563">
        <w:rPr>
          <w:rFonts w:cs="Arial"/>
        </w:rPr>
        <w:t xml:space="preserve">, </w:t>
      </w:r>
      <w:r w:rsidR="00242CA0" w:rsidRPr="00051563">
        <w:rPr>
          <w:rFonts w:cs="Arial"/>
        </w:rPr>
        <w:t>such as</w:t>
      </w:r>
      <w:r w:rsidR="00DE1B4F" w:rsidRPr="00051563">
        <w:rPr>
          <w:rFonts w:cs="Arial"/>
        </w:rPr>
        <w:t xml:space="preserve">, </w:t>
      </w:r>
      <w:r w:rsidR="00665F3B" w:rsidRPr="00051563">
        <w:rPr>
          <w:rFonts w:cs="Arial"/>
        </w:rPr>
        <w:t xml:space="preserve">whether the </w:t>
      </w:r>
      <w:r w:rsidR="00C354B1" w:rsidRPr="00051563">
        <w:rPr>
          <w:rFonts w:cs="Arial"/>
        </w:rPr>
        <w:t>bracketed</w:t>
      </w:r>
      <w:r w:rsidR="00665F3B" w:rsidRPr="00051563">
        <w:rPr>
          <w:rFonts w:cs="Arial"/>
        </w:rPr>
        <w:t xml:space="preserve"> </w:t>
      </w:r>
      <w:r w:rsidR="00BF2D6E" w:rsidRPr="00051563">
        <w:rPr>
          <w:rFonts w:cs="Arial"/>
        </w:rPr>
        <w:t xml:space="preserve">list of added sugars </w:t>
      </w:r>
      <w:r w:rsidR="003462AB" w:rsidRPr="00051563">
        <w:rPr>
          <w:rFonts w:cs="Arial"/>
        </w:rPr>
        <w:t>c</w:t>
      </w:r>
      <w:r w:rsidR="008B04EE" w:rsidRPr="00051563">
        <w:rPr>
          <w:rFonts w:cs="Arial"/>
        </w:rPr>
        <w:t xml:space="preserve">ould </w:t>
      </w:r>
      <w:r w:rsidR="003462AB" w:rsidRPr="00051563">
        <w:rPr>
          <w:rFonts w:cs="Arial"/>
        </w:rPr>
        <w:t xml:space="preserve">appear to be </w:t>
      </w:r>
      <w:r w:rsidR="00665F3B" w:rsidRPr="00051563">
        <w:rPr>
          <w:rFonts w:cs="Arial"/>
        </w:rPr>
        <w:t xml:space="preserve">disproportionate to, or </w:t>
      </w:r>
      <w:r w:rsidR="003462AB" w:rsidRPr="00051563">
        <w:rPr>
          <w:rFonts w:cs="Arial"/>
        </w:rPr>
        <w:t xml:space="preserve">to </w:t>
      </w:r>
      <w:r w:rsidR="00665F3B" w:rsidRPr="00051563">
        <w:rPr>
          <w:rFonts w:cs="Arial"/>
        </w:rPr>
        <w:t>misrepresent, the total amount o</w:t>
      </w:r>
      <w:r w:rsidR="00E17CB4" w:rsidRPr="00051563">
        <w:rPr>
          <w:rFonts w:cs="Arial"/>
        </w:rPr>
        <w:t>f sugar</w:t>
      </w:r>
      <w:r w:rsidR="00940D3D">
        <w:rPr>
          <w:rFonts w:cs="Arial"/>
        </w:rPr>
        <w:t>s</w:t>
      </w:r>
      <w:r w:rsidR="00E17CB4" w:rsidRPr="00051563">
        <w:rPr>
          <w:rFonts w:cs="Arial"/>
        </w:rPr>
        <w:t xml:space="preserve"> declared in the NIP (e.g</w:t>
      </w:r>
      <w:r w:rsidR="00665F3B" w:rsidRPr="00051563">
        <w:rPr>
          <w:rFonts w:cs="Arial"/>
        </w:rPr>
        <w:t>.</w:t>
      </w:r>
      <w:r w:rsidR="00242CA0" w:rsidRPr="00051563">
        <w:rPr>
          <w:rFonts w:cs="Arial"/>
        </w:rPr>
        <w:t xml:space="preserve"> whether</w:t>
      </w:r>
      <w:r w:rsidR="00665F3B" w:rsidRPr="00051563">
        <w:rPr>
          <w:rFonts w:cs="Arial"/>
        </w:rPr>
        <w:t xml:space="preserve"> the </w:t>
      </w:r>
      <w:r w:rsidR="007A0751" w:rsidRPr="00051563">
        <w:rPr>
          <w:rFonts w:cs="Arial"/>
        </w:rPr>
        <w:t xml:space="preserve">statement of </w:t>
      </w:r>
      <w:r w:rsidR="00665F3B" w:rsidRPr="00051563">
        <w:rPr>
          <w:rFonts w:cs="Arial"/>
        </w:rPr>
        <w:t>ingredient</w:t>
      </w:r>
      <w:r w:rsidR="007A0751" w:rsidRPr="00051563">
        <w:rPr>
          <w:rFonts w:cs="Arial"/>
        </w:rPr>
        <w:t>s</w:t>
      </w:r>
      <w:r w:rsidR="00665F3B" w:rsidRPr="00051563">
        <w:rPr>
          <w:rFonts w:cs="Arial"/>
        </w:rPr>
        <w:t xml:space="preserve"> </w:t>
      </w:r>
      <w:r w:rsidR="00242CA0" w:rsidRPr="00051563">
        <w:rPr>
          <w:rFonts w:cs="Arial"/>
        </w:rPr>
        <w:t>could provide</w:t>
      </w:r>
      <w:r w:rsidR="00BF2D6E" w:rsidRPr="00051563">
        <w:rPr>
          <w:rFonts w:cs="Arial"/>
        </w:rPr>
        <w:t xml:space="preserve"> a long bracketed list of</w:t>
      </w:r>
      <w:r w:rsidR="00C354B1" w:rsidRPr="00051563">
        <w:rPr>
          <w:rFonts w:cs="Arial"/>
        </w:rPr>
        <w:t xml:space="preserve"> </w:t>
      </w:r>
      <w:r w:rsidR="00665F3B" w:rsidRPr="00051563">
        <w:rPr>
          <w:rFonts w:cs="Arial"/>
        </w:rPr>
        <w:t xml:space="preserve">added sugars ingredients </w:t>
      </w:r>
      <w:r w:rsidR="00242CA0" w:rsidRPr="00051563">
        <w:rPr>
          <w:rFonts w:cs="Arial"/>
        </w:rPr>
        <w:t>compared to a</w:t>
      </w:r>
      <w:r w:rsidR="00665F3B" w:rsidRPr="00051563">
        <w:rPr>
          <w:rFonts w:cs="Arial"/>
        </w:rPr>
        <w:t xml:space="preserve"> </w:t>
      </w:r>
      <w:r w:rsidR="0006515C" w:rsidRPr="00051563">
        <w:rPr>
          <w:rFonts w:cs="Arial"/>
        </w:rPr>
        <w:t xml:space="preserve">relatively </w:t>
      </w:r>
      <w:r w:rsidR="00665F3B" w:rsidRPr="00051563">
        <w:rPr>
          <w:rFonts w:cs="Arial"/>
        </w:rPr>
        <w:t>small amount of total sugars declared in the NIP).</w:t>
      </w:r>
      <w:r w:rsidR="0006515C">
        <w:rPr>
          <w:rFonts w:cs="Arial"/>
        </w:rPr>
        <w:t xml:space="preserve"> </w:t>
      </w:r>
    </w:p>
    <w:p w14:paraId="503B904E" w14:textId="22402D90" w:rsidR="00127420" w:rsidRDefault="00BA333C" w:rsidP="009C37D3">
      <w:pPr>
        <w:pStyle w:val="Heading3"/>
      </w:pPr>
      <w:r>
        <w:t>2</w:t>
      </w:r>
      <w:r w:rsidR="00127420">
        <w:t>.</w:t>
      </w:r>
      <w:r w:rsidR="00696169">
        <w:t>3</w:t>
      </w:r>
      <w:r w:rsidR="00127420">
        <w:t>.2</w:t>
      </w:r>
      <w:r w:rsidR="00127420">
        <w:tab/>
        <w:t>International defin</w:t>
      </w:r>
      <w:r w:rsidR="00046C31">
        <w:t>i</w:t>
      </w:r>
      <w:r w:rsidR="00127420">
        <w:t>tions</w:t>
      </w:r>
    </w:p>
    <w:p w14:paraId="460BB52E" w14:textId="2B2DE406" w:rsidR="00A56D67" w:rsidRDefault="00215669" w:rsidP="008223A8">
      <w:r>
        <w:t xml:space="preserve">In </w:t>
      </w:r>
      <w:r w:rsidR="00A8686A">
        <w:t>developing</w:t>
      </w:r>
      <w:r>
        <w:t xml:space="preserve"> a</w:t>
      </w:r>
      <w:r w:rsidR="00395838">
        <w:t>n ‘added sugars’</w:t>
      </w:r>
      <w:r>
        <w:t xml:space="preserve"> definition</w:t>
      </w:r>
      <w:r w:rsidR="00073485">
        <w:t>,</w:t>
      </w:r>
      <w:r w:rsidR="008223A8">
        <w:t xml:space="preserve"> </w:t>
      </w:r>
      <w:r w:rsidR="005377D1">
        <w:t xml:space="preserve">any </w:t>
      </w:r>
      <w:r w:rsidR="00073485">
        <w:t xml:space="preserve">relevant </w:t>
      </w:r>
      <w:r w:rsidR="008223A8">
        <w:t>international definitions</w:t>
      </w:r>
      <w:r w:rsidR="004A40EE">
        <w:t xml:space="preserve"> </w:t>
      </w:r>
      <w:r w:rsidR="00AA3180">
        <w:t xml:space="preserve">and </w:t>
      </w:r>
      <w:r w:rsidR="00EA5511">
        <w:t>regulations</w:t>
      </w:r>
      <w:r w:rsidR="00663003">
        <w:t xml:space="preserve"> </w:t>
      </w:r>
      <w:r w:rsidR="004A40EE">
        <w:t xml:space="preserve">would </w:t>
      </w:r>
      <w:r w:rsidR="00D33C25">
        <w:t xml:space="preserve">also </w:t>
      </w:r>
      <w:r w:rsidR="009545D0">
        <w:t xml:space="preserve">need to </w:t>
      </w:r>
      <w:r w:rsidR="00381F7B">
        <w:t>be consider</w:t>
      </w:r>
      <w:r w:rsidR="00C40866">
        <w:t xml:space="preserve">ed </w:t>
      </w:r>
      <w:r w:rsidR="007C091F">
        <w:t>in regards</w:t>
      </w:r>
      <w:r w:rsidR="00C40866">
        <w:t xml:space="preserve"> to promoting consistency between domestic and international food standards. </w:t>
      </w:r>
    </w:p>
    <w:p w14:paraId="3BA39D43" w14:textId="77777777" w:rsidR="00381F7B" w:rsidRDefault="00381F7B" w:rsidP="008223A8"/>
    <w:p w14:paraId="5CFB1C03" w14:textId="77777777" w:rsidR="00FE7396" w:rsidRDefault="00FE7396">
      <w:r>
        <w:br w:type="page"/>
      </w:r>
    </w:p>
    <w:p w14:paraId="17E4BBEE" w14:textId="3A25F37F" w:rsidR="009C3305" w:rsidRDefault="00D10B49" w:rsidP="009C3305">
      <w:r>
        <w:lastRenderedPageBreak/>
        <w:t>FSANZ is aware that the World Health Organization</w:t>
      </w:r>
      <w:r w:rsidR="00D5510C">
        <w:t xml:space="preserve"> (WHO)</w:t>
      </w:r>
      <w:r>
        <w:t xml:space="preserve"> has defined ‘free sugars’</w:t>
      </w:r>
      <w:r w:rsidR="00C04F48">
        <w:rPr>
          <w:rStyle w:val="FootnoteReference"/>
        </w:rPr>
        <w:footnoteReference w:id="2"/>
      </w:r>
      <w:r>
        <w:t xml:space="preserve"> fo</w:t>
      </w:r>
      <w:r w:rsidR="000541D4">
        <w:t xml:space="preserve">r the purpose of its </w:t>
      </w:r>
      <w:r>
        <w:t xml:space="preserve">guideline on sugar </w:t>
      </w:r>
      <w:r w:rsidR="00984419">
        <w:t>int</w:t>
      </w:r>
      <w:r w:rsidR="00C04F48">
        <w:t>akes for adults and children</w:t>
      </w:r>
      <w:r w:rsidR="00EA5511">
        <w:t xml:space="preserve"> (WHO 2015)</w:t>
      </w:r>
      <w:r w:rsidR="00E65F70">
        <w:t xml:space="preserve">. </w:t>
      </w:r>
      <w:r w:rsidR="00722924">
        <w:t xml:space="preserve">Also, </w:t>
      </w:r>
      <w:r w:rsidR="00016AB1">
        <w:t xml:space="preserve">in the </w:t>
      </w:r>
      <w:r w:rsidR="00984419">
        <w:t>United States</w:t>
      </w:r>
      <w:r w:rsidR="00192F61">
        <w:t xml:space="preserve"> (US)</w:t>
      </w:r>
      <w:r w:rsidR="00016AB1">
        <w:t>, the</w:t>
      </w:r>
      <w:r w:rsidR="00984419">
        <w:t xml:space="preserve"> Food and Drug Administration (FDA) has </w:t>
      </w:r>
      <w:r w:rsidR="00527FA3">
        <w:t>defined</w:t>
      </w:r>
      <w:r w:rsidR="00984419">
        <w:t xml:space="preserve"> ‘added sugars’</w:t>
      </w:r>
      <w:r w:rsidR="00C04F48" w:rsidRPr="00C04F48">
        <w:rPr>
          <w:rStyle w:val="FootnoteReference"/>
        </w:rPr>
        <w:t xml:space="preserve"> </w:t>
      </w:r>
      <w:r w:rsidR="00C04F48">
        <w:rPr>
          <w:rStyle w:val="FootnoteReference"/>
        </w:rPr>
        <w:footnoteReference w:id="3"/>
      </w:r>
      <w:r w:rsidR="00C04F48">
        <w:t xml:space="preserve"> for its</w:t>
      </w:r>
      <w:r w:rsidR="00984419">
        <w:t xml:space="preserve"> </w:t>
      </w:r>
      <w:r w:rsidR="00527FA3">
        <w:t xml:space="preserve">new </w:t>
      </w:r>
      <w:r w:rsidR="00984419">
        <w:t xml:space="preserve">rule </w:t>
      </w:r>
      <w:r w:rsidR="009C5782">
        <w:t xml:space="preserve">requiring </w:t>
      </w:r>
      <w:r w:rsidR="00984419">
        <w:t>added sugars</w:t>
      </w:r>
      <w:r w:rsidR="009C5782">
        <w:t xml:space="preserve"> to be declared</w:t>
      </w:r>
      <w:r w:rsidR="000541D4">
        <w:t xml:space="preserve"> in the</w:t>
      </w:r>
      <w:r w:rsidR="00BD7D72">
        <w:t xml:space="preserve"> </w:t>
      </w:r>
      <w:r w:rsidR="00984419">
        <w:t xml:space="preserve">Nutrition Facts </w:t>
      </w:r>
      <w:r w:rsidR="00527FA3">
        <w:t>L</w:t>
      </w:r>
      <w:r w:rsidR="00984419">
        <w:t>abel</w:t>
      </w:r>
      <w:r w:rsidR="00016AB1">
        <w:t xml:space="preserve"> (</w:t>
      </w:r>
      <w:r w:rsidR="00D5510C">
        <w:t>FDA</w:t>
      </w:r>
      <w:r w:rsidR="00016AB1">
        <w:t xml:space="preserve"> 201</w:t>
      </w:r>
      <w:r w:rsidR="009C5782">
        <w:t>6</w:t>
      </w:r>
      <w:r w:rsidR="00016AB1">
        <w:t>)</w:t>
      </w:r>
      <w:r w:rsidR="00C40866">
        <w:t>.</w:t>
      </w:r>
      <w:r w:rsidR="009C3305">
        <w:t xml:space="preserve"> Health Canada </w:t>
      </w:r>
      <w:r w:rsidR="00722924">
        <w:t>has proposed a definition for ‘sugars-based ingredients’</w:t>
      </w:r>
      <w:r w:rsidR="00722924">
        <w:rPr>
          <w:rStyle w:val="FootnoteReference"/>
        </w:rPr>
        <w:footnoteReference w:id="4"/>
      </w:r>
      <w:r w:rsidR="00722924">
        <w:t xml:space="preserve"> as part of its proposed rule</w:t>
      </w:r>
      <w:r w:rsidR="009C3305">
        <w:t xml:space="preserve"> to group all sugar</w:t>
      </w:r>
      <w:r w:rsidR="000E028F">
        <w:t>s</w:t>
      </w:r>
      <w:r w:rsidR="009C3305">
        <w:t>-based ingredients in brackets in the ingredient list af</w:t>
      </w:r>
      <w:r w:rsidR="00722924">
        <w:t xml:space="preserve">ter the common name ‘sugars’ </w:t>
      </w:r>
      <w:r w:rsidR="00561CBF">
        <w:t xml:space="preserve">(Health Canada 2015) </w:t>
      </w:r>
      <w:r w:rsidR="009C3305">
        <w:t>(</w:t>
      </w:r>
      <w:r w:rsidR="00722924">
        <w:t>s</w:t>
      </w:r>
      <w:r w:rsidR="005377D1">
        <w:t xml:space="preserve">ee Supporting </w:t>
      </w:r>
      <w:r w:rsidR="005377D1" w:rsidRPr="00B91159">
        <w:t>D</w:t>
      </w:r>
      <w:r w:rsidR="009C3305" w:rsidRPr="00B91159">
        <w:t xml:space="preserve">ocument </w:t>
      </w:r>
      <w:r w:rsidR="0072583C" w:rsidRPr="00B91159">
        <w:t>2</w:t>
      </w:r>
      <w:r w:rsidR="009C3305" w:rsidRPr="00B91159">
        <w:t xml:space="preserve"> for</w:t>
      </w:r>
      <w:r w:rsidR="009C3305">
        <w:t xml:space="preserve"> further detail on the </w:t>
      </w:r>
      <w:r w:rsidR="00712E17">
        <w:t xml:space="preserve">US </w:t>
      </w:r>
      <w:r w:rsidR="00722924">
        <w:t>FDA</w:t>
      </w:r>
      <w:r w:rsidR="00B72A87">
        <w:t xml:space="preserve">’s new rule </w:t>
      </w:r>
      <w:r w:rsidR="009C3305">
        <w:t>and Health Canada</w:t>
      </w:r>
      <w:r w:rsidR="00B72A87">
        <w:t>’s</w:t>
      </w:r>
      <w:r w:rsidR="009C3305">
        <w:t xml:space="preserve"> proposed rule)</w:t>
      </w:r>
      <w:r w:rsidR="00722924">
        <w:t>.</w:t>
      </w:r>
    </w:p>
    <w:p w14:paraId="6A09875F" w14:textId="39EF5A04" w:rsidR="00B91159" w:rsidRDefault="00B91159" w:rsidP="008223A8"/>
    <w:p w14:paraId="6D2A4C7B" w14:textId="3F7AA975" w:rsidR="00C04F48" w:rsidRDefault="005377D1" w:rsidP="001D6A8C">
      <w:r>
        <w:t>Whilst</w:t>
      </w:r>
      <w:r w:rsidR="00EE699D">
        <w:t xml:space="preserve"> </w:t>
      </w:r>
      <w:r>
        <w:t xml:space="preserve">there are some </w:t>
      </w:r>
      <w:r w:rsidR="00E65F70">
        <w:t xml:space="preserve">similarities between </w:t>
      </w:r>
      <w:r w:rsidR="00EE699D">
        <w:t>these definitions, t</w:t>
      </w:r>
      <w:r w:rsidR="001D6A8C">
        <w:t xml:space="preserve">here </w:t>
      </w:r>
      <w:r w:rsidR="00C04F48">
        <w:t xml:space="preserve">are </w:t>
      </w:r>
      <w:r w:rsidR="001D6A8C">
        <w:t>differences</w:t>
      </w:r>
      <w:r w:rsidR="00C40866">
        <w:t xml:space="preserve"> </w:t>
      </w:r>
      <w:r w:rsidR="00EE699D">
        <w:t>th</w:t>
      </w:r>
      <w:r w:rsidR="00E65F70">
        <w:t>at would need to be considered</w:t>
      </w:r>
      <w:r w:rsidR="00EE699D">
        <w:t xml:space="preserve"> further</w:t>
      </w:r>
      <w:r w:rsidR="00C40866">
        <w:t xml:space="preserve">. </w:t>
      </w:r>
      <w:r w:rsidR="00EE699D">
        <w:t>For instance, t</w:t>
      </w:r>
      <w:r w:rsidR="001D6A8C">
        <w:t xml:space="preserve">he </w:t>
      </w:r>
      <w:r w:rsidR="00712E17">
        <w:t xml:space="preserve">US </w:t>
      </w:r>
      <w:r w:rsidR="001D6A8C">
        <w:t xml:space="preserve">FDA’s definition </w:t>
      </w:r>
      <w:r w:rsidR="009C5782">
        <w:t>refers to</w:t>
      </w:r>
      <w:r w:rsidR="00EE699D">
        <w:t xml:space="preserve"> fruit juice concentrates but</w:t>
      </w:r>
      <w:r w:rsidR="001D6A8C">
        <w:t xml:space="preserve"> not fruit juice as </w:t>
      </w:r>
      <w:r w:rsidR="009C3305">
        <w:t>included in the WHO definition.</w:t>
      </w:r>
      <w:r w:rsidR="001D6A8C">
        <w:t xml:space="preserve"> </w:t>
      </w:r>
      <w:r w:rsidR="00C50627">
        <w:t xml:space="preserve">Health Canada </w:t>
      </w:r>
      <w:r w:rsidR="00722924">
        <w:t>does not specifically refer to fruit juice o</w:t>
      </w:r>
      <w:r w:rsidR="008B04EE">
        <w:t>r</w:t>
      </w:r>
      <w:r w:rsidR="00722924">
        <w:t xml:space="preserve"> fruit juice concentrates and refers</w:t>
      </w:r>
      <w:r w:rsidR="00C50627">
        <w:t xml:space="preserve"> </w:t>
      </w:r>
      <w:r w:rsidR="00EE699D">
        <w:t>to sweetening agents and functional substitutes for sweetening agents.</w:t>
      </w:r>
      <w:r w:rsidR="008F2D83">
        <w:t xml:space="preserve"> T</w:t>
      </w:r>
      <w:r w:rsidR="00C50627">
        <w:t>hese</w:t>
      </w:r>
      <w:r w:rsidR="001D6A8C">
        <w:t xml:space="preserve"> definition</w:t>
      </w:r>
      <w:r w:rsidR="00E65F70">
        <w:t xml:space="preserve">s </w:t>
      </w:r>
      <w:r w:rsidR="008F2D83">
        <w:t xml:space="preserve">also </w:t>
      </w:r>
      <w:r w:rsidR="00C50627">
        <w:t xml:space="preserve">serve different purposes, </w:t>
      </w:r>
      <w:r w:rsidR="001D6A8C">
        <w:t xml:space="preserve">i.e. for </w:t>
      </w:r>
      <w:r w:rsidR="007A2014">
        <w:t>nutrient</w:t>
      </w:r>
      <w:r w:rsidR="00BD7D72">
        <w:t xml:space="preserve"> </w:t>
      </w:r>
      <w:r w:rsidR="001D6A8C">
        <w:t>guidelines versus mandatory nutrition information labelling</w:t>
      </w:r>
      <w:r w:rsidR="009C3305">
        <w:t xml:space="preserve"> </w:t>
      </w:r>
      <w:r w:rsidR="00C50627">
        <w:t xml:space="preserve">and </w:t>
      </w:r>
      <w:r w:rsidR="000C0470">
        <w:t xml:space="preserve">mandatory </w:t>
      </w:r>
      <w:r w:rsidR="00C50627">
        <w:t>ingredient labelling</w:t>
      </w:r>
      <w:r w:rsidR="008F2D83">
        <w:t>.</w:t>
      </w:r>
    </w:p>
    <w:p w14:paraId="0930171E" w14:textId="0A2D3474" w:rsidR="00683E90" w:rsidRDefault="00BA333C" w:rsidP="009C37D3">
      <w:pPr>
        <w:pStyle w:val="Heading2"/>
      </w:pPr>
      <w:bookmarkStart w:id="9" w:name="_Toc451937483"/>
      <w:r>
        <w:t>2</w:t>
      </w:r>
      <w:r w:rsidR="00696169">
        <w:t>.4</w:t>
      </w:r>
      <w:r w:rsidR="00683E90">
        <w:tab/>
      </w:r>
      <w:r w:rsidR="00683E90" w:rsidRPr="00683E90">
        <w:t>Added fats and/or added vegetable oils</w:t>
      </w:r>
      <w:bookmarkEnd w:id="9"/>
    </w:p>
    <w:p w14:paraId="567AE55E" w14:textId="6F8DE647" w:rsidR="00B72D26" w:rsidRDefault="003A3369" w:rsidP="003A3369">
      <w:r>
        <w:t>R</w:t>
      </w:r>
      <w:r w:rsidRPr="00D43AC4">
        <w:t xml:space="preserve">ecommendation </w:t>
      </w:r>
      <w:r>
        <w:t xml:space="preserve">12 </w:t>
      </w:r>
      <w:r w:rsidR="009169EC">
        <w:t xml:space="preserve">refers to ‘added fats </w:t>
      </w:r>
      <w:r w:rsidRPr="00D43AC4">
        <w:rPr>
          <w:i/>
          <w:u w:val="single"/>
        </w:rPr>
        <w:t>and/or</w:t>
      </w:r>
      <w:r w:rsidRPr="00D43AC4">
        <w:t xml:space="preserve"> added vegetable oils’</w:t>
      </w:r>
      <w:r w:rsidR="009169EC">
        <w:t xml:space="preserve"> (added emphasis)</w:t>
      </w:r>
      <w:r w:rsidRPr="00D43AC4">
        <w:t xml:space="preserve"> and </w:t>
      </w:r>
      <w:r>
        <w:t>list</w:t>
      </w:r>
      <w:r w:rsidR="002646BB">
        <w:t>s</w:t>
      </w:r>
      <w:r>
        <w:t xml:space="preserve"> ‘palm oil’ as an example</w:t>
      </w:r>
      <w:r w:rsidR="00D66F06">
        <w:t xml:space="preserve"> for both of these</w:t>
      </w:r>
      <w:r w:rsidR="00ED125A">
        <w:t xml:space="preserve"> categories</w:t>
      </w:r>
      <w:r>
        <w:t xml:space="preserve">. </w:t>
      </w:r>
      <w:r w:rsidR="001A0451">
        <w:t>A</w:t>
      </w:r>
      <w:r w:rsidR="002E2F12">
        <w:t xml:space="preserve"> determination on whether</w:t>
      </w:r>
      <w:r w:rsidR="00C563A8">
        <w:t xml:space="preserve"> bracketed lists</w:t>
      </w:r>
      <w:r w:rsidR="006E320B">
        <w:t xml:space="preserve"> of both </w:t>
      </w:r>
      <w:r>
        <w:t>‘added fats’ and ‘added vegetable oils’</w:t>
      </w:r>
      <w:r w:rsidR="00B3142E">
        <w:t xml:space="preserve"> or just one </w:t>
      </w:r>
      <w:r w:rsidR="00C563A8">
        <w:t>list</w:t>
      </w:r>
      <w:r w:rsidR="006E320B">
        <w:t xml:space="preserve"> using one of these terms</w:t>
      </w:r>
      <w:r w:rsidR="002E2F12">
        <w:t xml:space="preserve"> would need to be made </w:t>
      </w:r>
      <w:r w:rsidR="00683E90">
        <w:t xml:space="preserve">should </w:t>
      </w:r>
      <w:r w:rsidR="00846781">
        <w:t xml:space="preserve">a regulatory change </w:t>
      </w:r>
      <w:r w:rsidR="009169EC">
        <w:t xml:space="preserve">to implement Recommendation 12 </w:t>
      </w:r>
      <w:r w:rsidR="00846781">
        <w:t>be considered</w:t>
      </w:r>
      <w:r w:rsidR="004419A9">
        <w:t>.</w:t>
      </w:r>
      <w:r w:rsidR="001A0451">
        <w:t xml:space="preserve"> Subject to this determination, d</w:t>
      </w:r>
      <w:r w:rsidR="009640D0">
        <w:t>efinitions</w:t>
      </w:r>
      <w:r w:rsidR="007F5164">
        <w:t xml:space="preserve"> would likely be required for the terms ‘added fats’ and/or ‘added vegetable oils’ </w:t>
      </w:r>
      <w:r w:rsidR="003A7142">
        <w:t>to</w:t>
      </w:r>
      <w:r w:rsidR="00903029">
        <w:t xml:space="preserve"> </w:t>
      </w:r>
      <w:r w:rsidR="00945DAC">
        <w:t xml:space="preserve">clarify </w:t>
      </w:r>
      <w:r w:rsidRPr="00D43AC4">
        <w:t>which</w:t>
      </w:r>
      <w:r w:rsidR="001F506F">
        <w:t xml:space="preserve"> </w:t>
      </w:r>
      <w:r w:rsidRPr="00D43AC4">
        <w:t xml:space="preserve">ingredients </w:t>
      </w:r>
      <w:r>
        <w:t xml:space="preserve">are </w:t>
      </w:r>
      <w:r w:rsidR="001F506F">
        <w:t xml:space="preserve">to be </w:t>
      </w:r>
      <w:r>
        <w:t xml:space="preserve">captured </w:t>
      </w:r>
      <w:r w:rsidR="00553A90">
        <w:t>under</w:t>
      </w:r>
      <w:r w:rsidR="009640D0">
        <w:t xml:space="preserve"> </w:t>
      </w:r>
      <w:r w:rsidR="00C563A8">
        <w:t xml:space="preserve">these terms to </w:t>
      </w:r>
      <w:r w:rsidR="00AC1184">
        <w:t xml:space="preserve">ensure consistent application of the ingredient </w:t>
      </w:r>
      <w:r w:rsidR="001C5E49">
        <w:t>labelling</w:t>
      </w:r>
      <w:r w:rsidR="00AC1184">
        <w:t xml:space="preserve"> requirements</w:t>
      </w:r>
      <w:r w:rsidR="001C5E49">
        <w:t xml:space="preserve"> across </w:t>
      </w:r>
      <w:r w:rsidR="00553A90">
        <w:t xml:space="preserve">food </w:t>
      </w:r>
      <w:r w:rsidR="001C5E49">
        <w:t>products</w:t>
      </w:r>
      <w:r w:rsidR="007F5164">
        <w:t xml:space="preserve">. </w:t>
      </w:r>
    </w:p>
    <w:p w14:paraId="19F26D27" w14:textId="77777777" w:rsidR="00B72D26" w:rsidRDefault="00B72D26" w:rsidP="003A3369"/>
    <w:p w14:paraId="00728F0B" w14:textId="77777777" w:rsidR="00FE7396" w:rsidRDefault="00FE7396">
      <w:r>
        <w:br w:type="page"/>
      </w:r>
    </w:p>
    <w:p w14:paraId="6622A978" w14:textId="4847AADC" w:rsidR="00533E2F" w:rsidRPr="00533E2F" w:rsidRDefault="00D602A6" w:rsidP="003A3369">
      <w:r>
        <w:lastRenderedPageBreak/>
        <w:t>FSANZ also notes that the r</w:t>
      </w:r>
      <w:r w:rsidR="00533E2F" w:rsidRPr="00533E2F">
        <w:t>ecommendation specifically refers to ‘vegetable oils’ but does not refer to ‘animal oils’ (e.g. fish oil)</w:t>
      </w:r>
      <w:r w:rsidR="00533E2F">
        <w:t xml:space="preserve">. The generic name ‘animal oils’ </w:t>
      </w:r>
      <w:r w:rsidR="00533E2F" w:rsidRPr="00533E2F">
        <w:t xml:space="preserve">is currently permitted </w:t>
      </w:r>
      <w:r w:rsidR="00533E2F">
        <w:t>to be used in the statement of ingredients</w:t>
      </w:r>
      <w:r w:rsidR="00533E2F" w:rsidRPr="00533E2F">
        <w:t xml:space="preserve"> (see Table 1). Noting that </w:t>
      </w:r>
      <w:r w:rsidR="00533E2F">
        <w:t xml:space="preserve">any </w:t>
      </w:r>
      <w:r w:rsidR="00533E2F" w:rsidRPr="00533E2F">
        <w:t xml:space="preserve">animal oil ingredients present in a food </w:t>
      </w:r>
      <w:r w:rsidR="00533E2F">
        <w:t xml:space="preserve">would </w:t>
      </w:r>
      <w:r w:rsidR="00533E2F" w:rsidRPr="00533E2F">
        <w:t xml:space="preserve">contribute to the total amount of fat, consideration of animal oils </w:t>
      </w:r>
      <w:r w:rsidR="00533E2F">
        <w:t>and use</w:t>
      </w:r>
      <w:r w:rsidR="00C05D8A">
        <w:t xml:space="preserve"> of</w:t>
      </w:r>
      <w:r w:rsidR="00533E2F">
        <w:t xml:space="preserve"> the generic name </w:t>
      </w:r>
      <w:r w:rsidR="00533E2F" w:rsidRPr="00533E2F">
        <w:t>may also be required.</w:t>
      </w:r>
    </w:p>
    <w:p w14:paraId="449E4F79" w14:textId="1960BAFD" w:rsidR="00763FE4" w:rsidRDefault="00BA333C" w:rsidP="009C37D3">
      <w:pPr>
        <w:pStyle w:val="Heading2"/>
      </w:pPr>
      <w:bookmarkStart w:id="10" w:name="_Toc451937484"/>
      <w:r>
        <w:t>2</w:t>
      </w:r>
      <w:r w:rsidR="00696169">
        <w:t>.5</w:t>
      </w:r>
      <w:r w:rsidR="00E00F5D">
        <w:tab/>
      </w:r>
      <w:r w:rsidR="002F28BD">
        <w:t>Separate ingredients versus</w:t>
      </w:r>
      <w:r w:rsidR="003132EF">
        <w:t xml:space="preserve"> </w:t>
      </w:r>
      <w:r w:rsidR="00763FE4">
        <w:t>components of an ingredient</w:t>
      </w:r>
      <w:bookmarkEnd w:id="10"/>
    </w:p>
    <w:p w14:paraId="4135F1BD" w14:textId="7CCCE381" w:rsidR="00EF2F33" w:rsidRDefault="00FE51D9" w:rsidP="003A3369">
      <w:r w:rsidRPr="003132EF">
        <w:t>Recommendation</w:t>
      </w:r>
      <w:r w:rsidRPr="004213E9">
        <w:t xml:space="preserve"> 12</w:t>
      </w:r>
      <w:r w:rsidR="0096647A" w:rsidRPr="004213E9">
        <w:t xml:space="preserve"> refers to sugars, fats </w:t>
      </w:r>
      <w:r w:rsidR="00215DCD">
        <w:t>and/</w:t>
      </w:r>
      <w:r w:rsidR="0096647A" w:rsidRPr="004213E9">
        <w:t>or vegetable</w:t>
      </w:r>
      <w:r w:rsidRPr="004213E9">
        <w:t xml:space="preserve"> oils</w:t>
      </w:r>
      <w:r w:rsidR="0096647A" w:rsidRPr="004213E9">
        <w:t xml:space="preserve"> </w:t>
      </w:r>
      <w:r w:rsidR="00623F13" w:rsidRPr="004213E9">
        <w:rPr>
          <w:i/>
          <w:u w:val="single"/>
        </w:rPr>
        <w:t>added as separate ingredients</w:t>
      </w:r>
      <w:r w:rsidR="0096647A" w:rsidRPr="004213E9">
        <w:rPr>
          <w:i/>
          <w:u w:val="single"/>
        </w:rPr>
        <w:t xml:space="preserve"> in a food</w:t>
      </w:r>
      <w:r w:rsidR="00FC7564">
        <w:t xml:space="preserve"> (added emphasis)</w:t>
      </w:r>
      <w:r w:rsidR="0096647A" w:rsidRPr="004213E9">
        <w:rPr>
          <w:i/>
        </w:rPr>
        <w:t xml:space="preserve">. </w:t>
      </w:r>
      <w:r w:rsidR="00EC5E81" w:rsidRPr="004213E9">
        <w:t xml:space="preserve">FSANZ </w:t>
      </w:r>
      <w:r w:rsidR="00657F41">
        <w:t>therefore assumes</w:t>
      </w:r>
      <w:r w:rsidR="00C12374">
        <w:t xml:space="preserve"> that the </w:t>
      </w:r>
      <w:r w:rsidR="00C05D8A">
        <w:t xml:space="preserve">labelling review panel </w:t>
      </w:r>
      <w:r w:rsidR="00215DCD">
        <w:t xml:space="preserve">did </w:t>
      </w:r>
      <w:r w:rsidR="00202753">
        <w:t xml:space="preserve">not </w:t>
      </w:r>
      <w:r w:rsidRPr="004213E9">
        <w:t xml:space="preserve">intend to </w:t>
      </w:r>
      <w:r w:rsidR="009F7AFF" w:rsidRPr="004213E9">
        <w:t>capture</w:t>
      </w:r>
      <w:r w:rsidR="003A3369" w:rsidRPr="004213E9">
        <w:t xml:space="preserve"> sugars, fats or oils</w:t>
      </w:r>
      <w:r w:rsidR="009F7AFF" w:rsidRPr="004213E9">
        <w:t xml:space="preserve"> that</w:t>
      </w:r>
      <w:r w:rsidR="003A3369" w:rsidRPr="004213E9">
        <w:t xml:space="preserve"> are </w:t>
      </w:r>
      <w:r w:rsidR="009F7AFF" w:rsidRPr="004213E9">
        <w:t xml:space="preserve">naturally </w:t>
      </w:r>
      <w:r w:rsidR="000D2F58" w:rsidRPr="004213E9">
        <w:t xml:space="preserve">present as </w:t>
      </w:r>
      <w:r w:rsidR="003A3369" w:rsidRPr="004213E9">
        <w:t>a component of an ingredient</w:t>
      </w:r>
      <w:r w:rsidR="00502067" w:rsidRPr="004213E9">
        <w:t xml:space="preserve"> </w:t>
      </w:r>
      <w:r w:rsidR="001F60C0" w:rsidRPr="004213E9">
        <w:t xml:space="preserve">(e.g. </w:t>
      </w:r>
      <w:r w:rsidR="00202753">
        <w:t>sugar</w:t>
      </w:r>
      <w:r w:rsidR="00EF2F33">
        <w:t>s</w:t>
      </w:r>
      <w:r w:rsidR="00D71ECA">
        <w:t xml:space="preserve"> and </w:t>
      </w:r>
      <w:r w:rsidR="00EB6E81">
        <w:t>fats</w:t>
      </w:r>
      <w:r w:rsidRPr="004213E9">
        <w:t xml:space="preserve"> </w:t>
      </w:r>
      <w:r w:rsidR="00782780">
        <w:t>naturally</w:t>
      </w:r>
      <w:r w:rsidRPr="004213E9">
        <w:t xml:space="preserve"> present</w:t>
      </w:r>
      <w:r w:rsidR="00202753">
        <w:t xml:space="preserve"> in</w:t>
      </w:r>
      <w:r w:rsidR="00DC4110">
        <w:t xml:space="preserve"> milk</w:t>
      </w:r>
      <w:r w:rsidR="00B9365F">
        <w:t xml:space="preserve"> or cheese</w:t>
      </w:r>
      <w:r w:rsidR="001F60C0" w:rsidRPr="004213E9">
        <w:t>)</w:t>
      </w:r>
      <w:r w:rsidR="00D71ECA">
        <w:t>, as they are not added as separate ingredients to the food</w:t>
      </w:r>
      <w:r w:rsidR="00AD14FF" w:rsidRPr="004213E9">
        <w:t xml:space="preserve">. </w:t>
      </w:r>
      <w:r w:rsidR="007D7FFC">
        <w:t>Further</w:t>
      </w:r>
      <w:r w:rsidR="00CC59CE">
        <w:t>,</w:t>
      </w:r>
      <w:r w:rsidR="001839F8">
        <w:t xml:space="preserve"> </w:t>
      </w:r>
      <w:r w:rsidR="00942E87">
        <w:t xml:space="preserve">FSANZ </w:t>
      </w:r>
      <w:r w:rsidR="005332DC">
        <w:t>is of the view</w:t>
      </w:r>
      <w:r w:rsidR="00942E87">
        <w:t xml:space="preserve"> that </w:t>
      </w:r>
      <w:r w:rsidR="001839F8">
        <w:t>t</w:t>
      </w:r>
      <w:r w:rsidR="007D7FFC">
        <w:t xml:space="preserve">he ingredient itself </w:t>
      </w:r>
      <w:r w:rsidR="00A47FF4">
        <w:t xml:space="preserve">(e.g. ‘milk’) </w:t>
      </w:r>
      <w:r w:rsidR="00771FE9">
        <w:t>w</w:t>
      </w:r>
      <w:r w:rsidRPr="004213E9">
        <w:t xml:space="preserve">ould </w:t>
      </w:r>
      <w:r w:rsidR="007D7FFC">
        <w:t xml:space="preserve">not </w:t>
      </w:r>
      <w:r w:rsidR="00EF2F33">
        <w:t xml:space="preserve">be </w:t>
      </w:r>
      <w:r w:rsidR="00EB6E81">
        <w:t>listed as</w:t>
      </w:r>
      <w:r w:rsidR="00EF2F33">
        <w:t xml:space="preserve"> an </w:t>
      </w:r>
      <w:r w:rsidR="00644E85">
        <w:t xml:space="preserve">added sugars, fat or </w:t>
      </w:r>
      <w:r w:rsidR="007D7FFC">
        <w:t xml:space="preserve">vegetable oil and would </w:t>
      </w:r>
      <w:r w:rsidR="00003015">
        <w:t>be listed individually in the</w:t>
      </w:r>
      <w:r w:rsidR="00AD03C0" w:rsidRPr="004213E9">
        <w:t xml:space="preserve"> </w:t>
      </w:r>
      <w:r w:rsidR="007A0751">
        <w:t>statement of in</w:t>
      </w:r>
      <w:r w:rsidR="00AD03C0" w:rsidRPr="004213E9">
        <w:t>gredient</w:t>
      </w:r>
      <w:r w:rsidR="007A0751">
        <w:t>s</w:t>
      </w:r>
      <w:r w:rsidR="00485AE8">
        <w:t xml:space="preserve"> </w:t>
      </w:r>
      <w:r w:rsidR="00CC59CE">
        <w:t xml:space="preserve">in accordance with </w:t>
      </w:r>
      <w:r w:rsidR="001839F8">
        <w:t xml:space="preserve">existing </w:t>
      </w:r>
      <w:r w:rsidR="00FC7564">
        <w:t xml:space="preserve">requirements. </w:t>
      </w:r>
    </w:p>
    <w:p w14:paraId="258C187F" w14:textId="77777777" w:rsidR="0018134B" w:rsidRDefault="0018134B" w:rsidP="003A3369"/>
    <w:p w14:paraId="062E2E98" w14:textId="4D707F6B" w:rsidR="00A47FF4" w:rsidRDefault="00A47FF4" w:rsidP="003A3369">
      <w:r>
        <w:rPr>
          <w:lang w:eastAsia="en-AU"/>
        </w:rPr>
        <w:t>In the case where</w:t>
      </w:r>
      <w:r w:rsidR="0018134B">
        <w:t xml:space="preserve"> an individual component (e.g. milk fat) </w:t>
      </w:r>
      <w:r>
        <w:t>is</w:t>
      </w:r>
      <w:r w:rsidR="0018134B">
        <w:t xml:space="preserve"> added as a separate in</w:t>
      </w:r>
      <w:r>
        <w:t>gredient to a</w:t>
      </w:r>
      <w:r w:rsidR="0018134B">
        <w:t xml:space="preserve"> food, this could be listed within the relevant added </w:t>
      </w:r>
      <w:r w:rsidR="002D4489">
        <w:t xml:space="preserve">sugars, fats or </w:t>
      </w:r>
      <w:r w:rsidR="00BB6EA3">
        <w:t>vegetable oils group</w:t>
      </w:r>
      <w:r w:rsidR="0018134B">
        <w:t xml:space="preserve">, depending on the definitions developed in the Code for these </w:t>
      </w:r>
      <w:r w:rsidR="00D71ECA">
        <w:t>terms</w:t>
      </w:r>
      <w:r w:rsidR="0018134B">
        <w:t xml:space="preserve"> (as discussed above).</w:t>
      </w:r>
    </w:p>
    <w:p w14:paraId="5608A8C0" w14:textId="44BEC9C8" w:rsidR="00F91EE3" w:rsidRPr="00BB6EA3" w:rsidRDefault="00F91EE3" w:rsidP="00BB6EA3">
      <w:pPr>
        <w:pStyle w:val="FootnoteText"/>
        <w:rPr>
          <w:lang w:val="en-AU"/>
        </w:rPr>
        <w:sectPr w:rsidR="00F91EE3" w:rsidRPr="00BB6EA3" w:rsidSect="00516FA7">
          <w:pgSz w:w="11906" w:h="16838"/>
          <w:pgMar w:top="1418" w:right="1418" w:bottom="1418" w:left="1418" w:header="709" w:footer="709" w:gutter="0"/>
          <w:pgNumType w:start="1"/>
          <w:cols w:space="708"/>
          <w:docGrid w:linePitch="360"/>
        </w:sectPr>
      </w:pPr>
    </w:p>
    <w:p w14:paraId="1AC9BACC" w14:textId="2D3425F3" w:rsidR="00E00F5D" w:rsidRPr="002C4D60" w:rsidRDefault="00BA333C" w:rsidP="009C37D3">
      <w:pPr>
        <w:pStyle w:val="Heading2"/>
      </w:pPr>
      <w:bookmarkStart w:id="11" w:name="_Toc451937485"/>
      <w:r w:rsidRPr="002C4D60">
        <w:lastRenderedPageBreak/>
        <w:t>2</w:t>
      </w:r>
      <w:r w:rsidR="00E00F5D" w:rsidRPr="002C4D60">
        <w:t>.6</w:t>
      </w:r>
      <w:r w:rsidR="00E00F5D" w:rsidRPr="002C4D60">
        <w:tab/>
      </w:r>
      <w:r w:rsidR="002925B6">
        <w:t>R</w:t>
      </w:r>
      <w:r w:rsidR="00E00F5D" w:rsidRPr="002C4D60">
        <w:t>elevant standards and schedules in t</w:t>
      </w:r>
      <w:r w:rsidR="00AD1776">
        <w:t>he Code and potential</w:t>
      </w:r>
      <w:r w:rsidR="00E00F5D" w:rsidRPr="002C4D60">
        <w:t xml:space="preserve"> implications</w:t>
      </w:r>
      <w:bookmarkEnd w:id="11"/>
      <w:r w:rsidR="00E00F5D" w:rsidRPr="002C4D60">
        <w:t xml:space="preserve"> </w:t>
      </w:r>
    </w:p>
    <w:p w14:paraId="6DF53E7D" w14:textId="56B34581" w:rsidR="00E00F5D" w:rsidRDefault="00E00F5D" w:rsidP="00E00F5D">
      <w:r>
        <w:t>Table 1 provides a summary of the existing requirements in the Code relevant to Recommendation 12, as well as a summary of the potential</w:t>
      </w:r>
      <w:r w:rsidR="0018002A">
        <w:t xml:space="preserve"> </w:t>
      </w:r>
      <w:r w:rsidR="00F4776E">
        <w:t xml:space="preserve">implications should </w:t>
      </w:r>
      <w:r w:rsidR="00F4776E" w:rsidRPr="00F4776E">
        <w:t>a regulatory change to implement th</w:t>
      </w:r>
      <w:r w:rsidR="00FB7F86">
        <w:t>is r</w:t>
      </w:r>
      <w:r w:rsidR="00F4776E">
        <w:t xml:space="preserve">ecommendation be considered. </w:t>
      </w:r>
      <w:r w:rsidR="00A56FA6">
        <w:t xml:space="preserve">This includes the potential impacts on existing </w:t>
      </w:r>
      <w:r w:rsidR="00665E21">
        <w:t xml:space="preserve">Code </w:t>
      </w:r>
      <w:r w:rsidR="00A56FA6">
        <w:t>requirements as well as implications</w:t>
      </w:r>
      <w:r w:rsidR="00665E21">
        <w:t xml:space="preserve"> of the Code on</w:t>
      </w:r>
      <w:r w:rsidR="00A56FA6">
        <w:t xml:space="preserve"> the implementation of Recommendation 12. </w:t>
      </w:r>
    </w:p>
    <w:p w14:paraId="529C714C" w14:textId="77777777" w:rsidR="00FB7F86" w:rsidRPr="00E00F5D" w:rsidRDefault="00FB7F86" w:rsidP="00E00F5D"/>
    <w:p w14:paraId="44D7BF1C" w14:textId="6ACD3991" w:rsidR="00770055" w:rsidRDefault="00913406" w:rsidP="00FB7F86">
      <w:pPr>
        <w:pStyle w:val="FSTableFigureHeading"/>
        <w:spacing w:before="0"/>
      </w:pPr>
      <w:r>
        <w:t xml:space="preserve">Table 1: </w:t>
      </w:r>
      <w:r w:rsidR="00C4363F">
        <w:t xml:space="preserve">Food </w:t>
      </w:r>
      <w:r w:rsidR="0089015B">
        <w:t>s</w:t>
      </w:r>
      <w:r w:rsidR="00C4363F">
        <w:t>tandards relevant to Recommendation 12</w:t>
      </w:r>
      <w:r w:rsidR="00FB7F86">
        <w:t xml:space="preserve"> and potential </w:t>
      </w:r>
      <w:r w:rsidR="00C9750D">
        <w:t xml:space="preserve">implications </w:t>
      </w:r>
    </w:p>
    <w:tbl>
      <w:tblPr>
        <w:tblStyle w:val="TableGrid"/>
        <w:tblW w:w="5013" w:type="pct"/>
        <w:tblLook w:val="04A0" w:firstRow="1" w:lastRow="0" w:firstColumn="1" w:lastColumn="0" w:noHBand="0" w:noVBand="1"/>
      </w:tblPr>
      <w:tblGrid>
        <w:gridCol w:w="1656"/>
        <w:gridCol w:w="6301"/>
        <w:gridCol w:w="6298"/>
      </w:tblGrid>
      <w:tr w:rsidR="008C603C" w14:paraId="15361D80" w14:textId="77777777" w:rsidTr="006F35D7">
        <w:trPr>
          <w:trHeight w:val="360"/>
          <w:tblHeader/>
        </w:trPr>
        <w:tc>
          <w:tcPr>
            <w:tcW w:w="581" w:type="pct"/>
            <w:shd w:val="clear" w:color="auto" w:fill="EAF1DD" w:themeFill="accent3" w:themeFillTint="33"/>
          </w:tcPr>
          <w:p w14:paraId="23CB8052" w14:textId="551166D0" w:rsidR="008C603C" w:rsidRPr="00FB2E96" w:rsidRDefault="008C603C" w:rsidP="00FB4E2A">
            <w:pPr>
              <w:rPr>
                <w:b/>
              </w:rPr>
            </w:pPr>
            <w:r w:rsidRPr="00FB2E96">
              <w:rPr>
                <w:b/>
              </w:rPr>
              <w:t>Standard</w:t>
            </w:r>
            <w:r>
              <w:rPr>
                <w:b/>
              </w:rPr>
              <w:t xml:space="preserve"> or Schedule</w:t>
            </w:r>
          </w:p>
        </w:tc>
        <w:tc>
          <w:tcPr>
            <w:tcW w:w="2210" w:type="pct"/>
            <w:shd w:val="clear" w:color="auto" w:fill="EAF1DD" w:themeFill="accent3" w:themeFillTint="33"/>
          </w:tcPr>
          <w:p w14:paraId="510699E3" w14:textId="16E93521" w:rsidR="008C603C" w:rsidRPr="00FB2E96" w:rsidRDefault="008C603C" w:rsidP="00652856">
            <w:pPr>
              <w:rPr>
                <w:b/>
              </w:rPr>
            </w:pPr>
            <w:r>
              <w:rPr>
                <w:b/>
              </w:rPr>
              <w:t>Relevant existing requirements</w:t>
            </w:r>
          </w:p>
        </w:tc>
        <w:tc>
          <w:tcPr>
            <w:tcW w:w="2209" w:type="pct"/>
            <w:shd w:val="clear" w:color="auto" w:fill="EAF1DD" w:themeFill="accent3" w:themeFillTint="33"/>
          </w:tcPr>
          <w:p w14:paraId="054A79FA" w14:textId="53B55E4B" w:rsidR="008C603C" w:rsidRPr="00FB2E96" w:rsidRDefault="00FB7F86" w:rsidP="00FB2E96">
            <w:pPr>
              <w:rPr>
                <w:b/>
              </w:rPr>
            </w:pPr>
            <w:r>
              <w:rPr>
                <w:b/>
              </w:rPr>
              <w:t>Potential</w:t>
            </w:r>
            <w:r w:rsidR="008C603C">
              <w:rPr>
                <w:b/>
              </w:rPr>
              <w:t xml:space="preserve"> implications of Recommendation 12 </w:t>
            </w:r>
          </w:p>
        </w:tc>
      </w:tr>
      <w:tr w:rsidR="008C603C" w14:paraId="2DE6CD46" w14:textId="77777777" w:rsidTr="006F35D7">
        <w:trPr>
          <w:trHeight w:val="2534"/>
        </w:trPr>
        <w:tc>
          <w:tcPr>
            <w:tcW w:w="581" w:type="pct"/>
            <w:vMerge w:val="restart"/>
          </w:tcPr>
          <w:p w14:paraId="0BEE4713" w14:textId="77777777" w:rsidR="008C603C" w:rsidRDefault="008C603C" w:rsidP="00FF2B27">
            <w:pPr>
              <w:rPr>
                <w:sz w:val="20"/>
                <w:szCs w:val="20"/>
              </w:rPr>
            </w:pPr>
            <w:r w:rsidRPr="00EF5C53">
              <w:rPr>
                <w:sz w:val="20"/>
                <w:szCs w:val="20"/>
              </w:rPr>
              <w:t>Standard 1.2.4</w:t>
            </w:r>
            <w:r>
              <w:rPr>
                <w:sz w:val="20"/>
                <w:szCs w:val="20"/>
              </w:rPr>
              <w:t xml:space="preserve"> – Information requirements – statement of ingredients</w:t>
            </w:r>
          </w:p>
          <w:p w14:paraId="4F2965C4" w14:textId="141126DA" w:rsidR="00B91159" w:rsidRDefault="00B91159" w:rsidP="00FF2B27">
            <w:pPr>
              <w:rPr>
                <w:sz w:val="20"/>
                <w:szCs w:val="20"/>
              </w:rPr>
            </w:pPr>
          </w:p>
          <w:p w14:paraId="3D417ACF" w14:textId="77777777" w:rsidR="00B91159" w:rsidRDefault="00B91159" w:rsidP="00FF2B27">
            <w:pPr>
              <w:rPr>
                <w:sz w:val="20"/>
                <w:szCs w:val="20"/>
              </w:rPr>
            </w:pPr>
          </w:p>
          <w:p w14:paraId="7DE8D39F" w14:textId="77777777" w:rsidR="00B91159" w:rsidRDefault="00B91159" w:rsidP="00FF2B27">
            <w:pPr>
              <w:rPr>
                <w:sz w:val="20"/>
                <w:szCs w:val="20"/>
              </w:rPr>
            </w:pPr>
          </w:p>
          <w:p w14:paraId="034598F8" w14:textId="77777777" w:rsidR="00B91159" w:rsidRDefault="00B91159" w:rsidP="00FF2B27">
            <w:pPr>
              <w:rPr>
                <w:sz w:val="20"/>
                <w:szCs w:val="20"/>
              </w:rPr>
            </w:pPr>
          </w:p>
          <w:p w14:paraId="516EC53D" w14:textId="77777777" w:rsidR="00B91159" w:rsidRDefault="00B91159" w:rsidP="00FF2B27">
            <w:pPr>
              <w:rPr>
                <w:sz w:val="20"/>
                <w:szCs w:val="20"/>
              </w:rPr>
            </w:pPr>
          </w:p>
          <w:p w14:paraId="25EA8419" w14:textId="77777777" w:rsidR="00B91159" w:rsidRDefault="00B91159" w:rsidP="00FF2B27">
            <w:pPr>
              <w:rPr>
                <w:sz w:val="20"/>
                <w:szCs w:val="20"/>
              </w:rPr>
            </w:pPr>
          </w:p>
          <w:p w14:paraId="4804932F" w14:textId="77777777" w:rsidR="00B91159" w:rsidRDefault="00B91159" w:rsidP="00FF2B27">
            <w:pPr>
              <w:rPr>
                <w:sz w:val="20"/>
                <w:szCs w:val="20"/>
              </w:rPr>
            </w:pPr>
          </w:p>
          <w:p w14:paraId="59552639" w14:textId="77777777" w:rsidR="00B91159" w:rsidRDefault="00B91159" w:rsidP="00FF2B27">
            <w:pPr>
              <w:rPr>
                <w:sz w:val="20"/>
                <w:szCs w:val="20"/>
              </w:rPr>
            </w:pPr>
          </w:p>
          <w:p w14:paraId="71C21462" w14:textId="77777777" w:rsidR="00B91159" w:rsidRDefault="00B91159" w:rsidP="00FF2B27">
            <w:pPr>
              <w:rPr>
                <w:sz w:val="20"/>
                <w:szCs w:val="20"/>
              </w:rPr>
            </w:pPr>
          </w:p>
          <w:p w14:paraId="3C57196D" w14:textId="77777777" w:rsidR="00B91159" w:rsidRDefault="00B91159" w:rsidP="00FF2B27">
            <w:pPr>
              <w:rPr>
                <w:sz w:val="20"/>
                <w:szCs w:val="20"/>
              </w:rPr>
            </w:pPr>
          </w:p>
          <w:p w14:paraId="1AFFAB92" w14:textId="77777777" w:rsidR="00B91159" w:rsidRDefault="00B91159" w:rsidP="00FF2B27">
            <w:pPr>
              <w:rPr>
                <w:sz w:val="20"/>
                <w:szCs w:val="20"/>
              </w:rPr>
            </w:pPr>
          </w:p>
          <w:p w14:paraId="7BFBBD21" w14:textId="77777777" w:rsidR="00B91159" w:rsidRDefault="00B91159" w:rsidP="00FF2B27">
            <w:pPr>
              <w:rPr>
                <w:sz w:val="20"/>
                <w:szCs w:val="20"/>
              </w:rPr>
            </w:pPr>
          </w:p>
          <w:p w14:paraId="61C1B7A5" w14:textId="77777777" w:rsidR="00B91159" w:rsidRDefault="00B91159" w:rsidP="00FF2B27">
            <w:pPr>
              <w:rPr>
                <w:sz w:val="20"/>
                <w:szCs w:val="20"/>
              </w:rPr>
            </w:pPr>
          </w:p>
          <w:p w14:paraId="143F4DE3" w14:textId="77777777" w:rsidR="00B91159" w:rsidRDefault="00B91159" w:rsidP="00FF2B27">
            <w:pPr>
              <w:rPr>
                <w:sz w:val="20"/>
                <w:szCs w:val="20"/>
              </w:rPr>
            </w:pPr>
          </w:p>
          <w:p w14:paraId="55B413F0" w14:textId="77777777" w:rsidR="00B91159" w:rsidRDefault="00B91159" w:rsidP="00FF2B27">
            <w:pPr>
              <w:rPr>
                <w:sz w:val="20"/>
                <w:szCs w:val="20"/>
              </w:rPr>
            </w:pPr>
          </w:p>
          <w:p w14:paraId="0B0D314A" w14:textId="77777777" w:rsidR="00B91159" w:rsidRDefault="00B91159" w:rsidP="00FF2B27">
            <w:pPr>
              <w:rPr>
                <w:sz w:val="20"/>
                <w:szCs w:val="20"/>
              </w:rPr>
            </w:pPr>
          </w:p>
          <w:p w14:paraId="10DCF582" w14:textId="77777777" w:rsidR="00B91159" w:rsidRDefault="00B91159" w:rsidP="00FF2B27">
            <w:pPr>
              <w:rPr>
                <w:sz w:val="20"/>
                <w:szCs w:val="20"/>
              </w:rPr>
            </w:pPr>
          </w:p>
          <w:p w14:paraId="75C81E51" w14:textId="77777777" w:rsidR="00B91159" w:rsidRDefault="00B91159" w:rsidP="00FF2B27">
            <w:pPr>
              <w:rPr>
                <w:sz w:val="20"/>
                <w:szCs w:val="20"/>
              </w:rPr>
            </w:pPr>
          </w:p>
          <w:p w14:paraId="58712241" w14:textId="77777777" w:rsidR="00B91159" w:rsidRDefault="00B91159" w:rsidP="00FF2B27">
            <w:pPr>
              <w:rPr>
                <w:sz w:val="20"/>
                <w:szCs w:val="20"/>
              </w:rPr>
            </w:pPr>
          </w:p>
          <w:p w14:paraId="671AD5D8" w14:textId="77777777" w:rsidR="00B91159" w:rsidRDefault="00B91159" w:rsidP="00FF2B27">
            <w:pPr>
              <w:rPr>
                <w:sz w:val="20"/>
                <w:szCs w:val="20"/>
              </w:rPr>
            </w:pPr>
          </w:p>
          <w:p w14:paraId="6469F963" w14:textId="77777777" w:rsidR="00B91159" w:rsidRDefault="00B91159" w:rsidP="00FF2B27">
            <w:pPr>
              <w:rPr>
                <w:sz w:val="20"/>
                <w:szCs w:val="20"/>
              </w:rPr>
            </w:pPr>
          </w:p>
          <w:p w14:paraId="135357C2" w14:textId="77777777" w:rsidR="003C6082" w:rsidRDefault="003C6082" w:rsidP="00FF2B27">
            <w:pPr>
              <w:rPr>
                <w:sz w:val="20"/>
                <w:szCs w:val="20"/>
              </w:rPr>
            </w:pPr>
          </w:p>
          <w:p w14:paraId="2F9EDFB5" w14:textId="77777777" w:rsidR="00B91159" w:rsidRDefault="00B91159" w:rsidP="00FF2B27">
            <w:pPr>
              <w:rPr>
                <w:sz w:val="20"/>
                <w:szCs w:val="20"/>
              </w:rPr>
            </w:pPr>
            <w:r w:rsidRPr="00EF5C53">
              <w:rPr>
                <w:sz w:val="20"/>
                <w:szCs w:val="20"/>
              </w:rPr>
              <w:lastRenderedPageBreak/>
              <w:t>Standard 1.2.4</w:t>
            </w:r>
            <w:r>
              <w:rPr>
                <w:sz w:val="20"/>
                <w:szCs w:val="20"/>
              </w:rPr>
              <w:t xml:space="preserve"> – Information requirements – statement of ingredients</w:t>
            </w:r>
          </w:p>
          <w:p w14:paraId="42DF818E" w14:textId="77777777" w:rsidR="00B91159" w:rsidRDefault="00B91159" w:rsidP="00FF2B27">
            <w:pPr>
              <w:rPr>
                <w:sz w:val="20"/>
                <w:szCs w:val="20"/>
              </w:rPr>
            </w:pPr>
            <w:r>
              <w:rPr>
                <w:sz w:val="20"/>
                <w:szCs w:val="20"/>
              </w:rPr>
              <w:t>(continued)</w:t>
            </w:r>
          </w:p>
          <w:p w14:paraId="4BAF1B6C" w14:textId="77777777" w:rsidR="00B91159" w:rsidRDefault="00B91159" w:rsidP="00FF2B27">
            <w:pPr>
              <w:rPr>
                <w:sz w:val="20"/>
                <w:szCs w:val="20"/>
              </w:rPr>
            </w:pPr>
          </w:p>
          <w:p w14:paraId="6B1EF99B" w14:textId="77777777" w:rsidR="00B91159" w:rsidRDefault="00B91159" w:rsidP="00FF2B27">
            <w:pPr>
              <w:rPr>
                <w:sz w:val="20"/>
                <w:szCs w:val="20"/>
              </w:rPr>
            </w:pPr>
          </w:p>
          <w:p w14:paraId="1E5A9D02" w14:textId="77777777" w:rsidR="00B91159" w:rsidRDefault="00B91159" w:rsidP="00FF2B27">
            <w:pPr>
              <w:rPr>
                <w:sz w:val="20"/>
                <w:szCs w:val="20"/>
              </w:rPr>
            </w:pPr>
          </w:p>
          <w:p w14:paraId="15460635" w14:textId="77777777" w:rsidR="00B91159" w:rsidRDefault="00B91159" w:rsidP="00FF2B27">
            <w:pPr>
              <w:rPr>
                <w:sz w:val="20"/>
                <w:szCs w:val="20"/>
              </w:rPr>
            </w:pPr>
          </w:p>
          <w:p w14:paraId="3A68E6BC" w14:textId="77777777" w:rsidR="00B91159" w:rsidRDefault="00B91159" w:rsidP="00FF2B27">
            <w:pPr>
              <w:rPr>
                <w:sz w:val="20"/>
                <w:szCs w:val="20"/>
              </w:rPr>
            </w:pPr>
          </w:p>
          <w:p w14:paraId="65689F13" w14:textId="77777777" w:rsidR="00B91159" w:rsidRDefault="00B91159" w:rsidP="00FF2B27">
            <w:pPr>
              <w:rPr>
                <w:sz w:val="20"/>
                <w:szCs w:val="20"/>
              </w:rPr>
            </w:pPr>
          </w:p>
          <w:p w14:paraId="79AB8180" w14:textId="77777777" w:rsidR="00B91159" w:rsidRDefault="00B91159" w:rsidP="00FF2B27">
            <w:pPr>
              <w:rPr>
                <w:sz w:val="20"/>
                <w:szCs w:val="20"/>
              </w:rPr>
            </w:pPr>
          </w:p>
          <w:p w14:paraId="43941764" w14:textId="77777777" w:rsidR="00B91159" w:rsidRDefault="00B91159" w:rsidP="00FF2B27">
            <w:pPr>
              <w:rPr>
                <w:sz w:val="20"/>
                <w:szCs w:val="20"/>
              </w:rPr>
            </w:pPr>
          </w:p>
          <w:p w14:paraId="235235F7" w14:textId="77777777" w:rsidR="00B91159" w:rsidRDefault="00B91159" w:rsidP="00FF2B27">
            <w:pPr>
              <w:rPr>
                <w:sz w:val="20"/>
                <w:szCs w:val="20"/>
              </w:rPr>
            </w:pPr>
          </w:p>
          <w:p w14:paraId="23ED0805" w14:textId="77777777" w:rsidR="00B91159" w:rsidRDefault="00B91159" w:rsidP="00FF2B27">
            <w:pPr>
              <w:rPr>
                <w:sz w:val="20"/>
                <w:szCs w:val="20"/>
              </w:rPr>
            </w:pPr>
          </w:p>
          <w:p w14:paraId="57595FA3" w14:textId="77777777" w:rsidR="00B91159" w:rsidRDefault="00B91159" w:rsidP="00FF2B27">
            <w:pPr>
              <w:rPr>
                <w:sz w:val="20"/>
                <w:szCs w:val="20"/>
              </w:rPr>
            </w:pPr>
          </w:p>
          <w:p w14:paraId="1AB6D66B" w14:textId="77777777" w:rsidR="00B91159" w:rsidRDefault="00B91159" w:rsidP="00FF2B27">
            <w:pPr>
              <w:rPr>
                <w:sz w:val="20"/>
                <w:szCs w:val="20"/>
              </w:rPr>
            </w:pPr>
          </w:p>
          <w:p w14:paraId="734C976B" w14:textId="77777777" w:rsidR="00B91159" w:rsidRDefault="00B91159" w:rsidP="00FF2B27">
            <w:pPr>
              <w:rPr>
                <w:sz w:val="20"/>
                <w:szCs w:val="20"/>
              </w:rPr>
            </w:pPr>
          </w:p>
          <w:p w14:paraId="5C59C7D3" w14:textId="77777777" w:rsidR="00B91159" w:rsidRDefault="00B91159" w:rsidP="00FF2B27">
            <w:pPr>
              <w:rPr>
                <w:sz w:val="20"/>
                <w:szCs w:val="20"/>
              </w:rPr>
            </w:pPr>
          </w:p>
          <w:p w14:paraId="7B53CF54" w14:textId="77777777" w:rsidR="00B91159" w:rsidRDefault="00B91159" w:rsidP="00FF2B27">
            <w:pPr>
              <w:rPr>
                <w:sz w:val="20"/>
                <w:szCs w:val="20"/>
              </w:rPr>
            </w:pPr>
          </w:p>
          <w:p w14:paraId="5945B603" w14:textId="77777777" w:rsidR="00B91159" w:rsidRDefault="00B91159" w:rsidP="00FF2B27">
            <w:pPr>
              <w:rPr>
                <w:sz w:val="20"/>
                <w:szCs w:val="20"/>
              </w:rPr>
            </w:pPr>
          </w:p>
          <w:p w14:paraId="62646B87" w14:textId="77777777" w:rsidR="00B91159" w:rsidRDefault="00B91159" w:rsidP="00FF2B27">
            <w:pPr>
              <w:rPr>
                <w:sz w:val="20"/>
                <w:szCs w:val="20"/>
              </w:rPr>
            </w:pPr>
          </w:p>
          <w:p w14:paraId="417DFD19" w14:textId="77777777" w:rsidR="00B91159" w:rsidRDefault="00B91159" w:rsidP="00FF2B27">
            <w:pPr>
              <w:rPr>
                <w:sz w:val="20"/>
                <w:szCs w:val="20"/>
              </w:rPr>
            </w:pPr>
          </w:p>
          <w:p w14:paraId="196386DE" w14:textId="77777777" w:rsidR="00B91159" w:rsidRDefault="00B91159" w:rsidP="00FF2B27">
            <w:pPr>
              <w:rPr>
                <w:sz w:val="20"/>
                <w:szCs w:val="20"/>
              </w:rPr>
            </w:pPr>
          </w:p>
          <w:p w14:paraId="1A39C3E0" w14:textId="77777777" w:rsidR="00B91159" w:rsidRDefault="00B91159" w:rsidP="00FF2B27">
            <w:pPr>
              <w:rPr>
                <w:sz w:val="20"/>
                <w:szCs w:val="20"/>
              </w:rPr>
            </w:pPr>
          </w:p>
          <w:p w14:paraId="351C17F5" w14:textId="77777777" w:rsidR="00B91159" w:rsidRDefault="00B91159" w:rsidP="00FF2B27">
            <w:pPr>
              <w:rPr>
                <w:sz w:val="20"/>
                <w:szCs w:val="20"/>
              </w:rPr>
            </w:pPr>
          </w:p>
          <w:p w14:paraId="11CFD298" w14:textId="77777777" w:rsidR="00B91159" w:rsidRDefault="00B91159" w:rsidP="00FF2B27">
            <w:pPr>
              <w:rPr>
                <w:sz w:val="20"/>
                <w:szCs w:val="20"/>
              </w:rPr>
            </w:pPr>
          </w:p>
          <w:p w14:paraId="6CCEDAB9" w14:textId="77777777" w:rsidR="00B91159" w:rsidRDefault="00B91159" w:rsidP="00FF2B27">
            <w:pPr>
              <w:rPr>
                <w:sz w:val="20"/>
                <w:szCs w:val="20"/>
              </w:rPr>
            </w:pPr>
          </w:p>
          <w:p w14:paraId="56A9CC50" w14:textId="77777777" w:rsidR="00B91159" w:rsidRDefault="00B91159" w:rsidP="00FF2B27">
            <w:pPr>
              <w:rPr>
                <w:sz w:val="20"/>
                <w:szCs w:val="20"/>
              </w:rPr>
            </w:pPr>
          </w:p>
          <w:p w14:paraId="4B10027C" w14:textId="77777777" w:rsidR="00B91159" w:rsidRDefault="00B91159" w:rsidP="00FF2B27">
            <w:pPr>
              <w:rPr>
                <w:sz w:val="20"/>
                <w:szCs w:val="20"/>
              </w:rPr>
            </w:pPr>
          </w:p>
          <w:p w14:paraId="403C3EB1" w14:textId="77777777" w:rsidR="00B91159" w:rsidRDefault="00B91159" w:rsidP="00FF2B27">
            <w:pPr>
              <w:rPr>
                <w:sz w:val="20"/>
                <w:szCs w:val="20"/>
              </w:rPr>
            </w:pPr>
          </w:p>
          <w:p w14:paraId="623DD880" w14:textId="77777777" w:rsidR="00B91159" w:rsidRDefault="00B91159" w:rsidP="00FF2B27">
            <w:pPr>
              <w:rPr>
                <w:sz w:val="20"/>
                <w:szCs w:val="20"/>
              </w:rPr>
            </w:pPr>
          </w:p>
          <w:p w14:paraId="79A79C49" w14:textId="77777777" w:rsidR="00B91159" w:rsidRDefault="00B91159" w:rsidP="00FF2B27">
            <w:pPr>
              <w:rPr>
                <w:sz w:val="20"/>
                <w:szCs w:val="20"/>
              </w:rPr>
            </w:pPr>
          </w:p>
          <w:p w14:paraId="2E238B0A" w14:textId="77777777" w:rsidR="00B91159" w:rsidRDefault="00B91159" w:rsidP="00FF2B27">
            <w:pPr>
              <w:rPr>
                <w:sz w:val="20"/>
                <w:szCs w:val="20"/>
              </w:rPr>
            </w:pPr>
          </w:p>
          <w:p w14:paraId="2499D57A" w14:textId="77777777" w:rsidR="00B91159" w:rsidRDefault="00B91159" w:rsidP="00FF2B27">
            <w:pPr>
              <w:rPr>
                <w:sz w:val="20"/>
                <w:szCs w:val="20"/>
              </w:rPr>
            </w:pPr>
          </w:p>
          <w:p w14:paraId="17BBDE5F" w14:textId="77777777" w:rsidR="00B91159" w:rsidRDefault="00B91159" w:rsidP="00B91159">
            <w:pPr>
              <w:rPr>
                <w:sz w:val="20"/>
                <w:szCs w:val="20"/>
              </w:rPr>
            </w:pPr>
            <w:r w:rsidRPr="00EF5C53">
              <w:rPr>
                <w:sz w:val="20"/>
                <w:szCs w:val="20"/>
              </w:rPr>
              <w:lastRenderedPageBreak/>
              <w:t>Standard 1.2.4</w:t>
            </w:r>
            <w:r>
              <w:rPr>
                <w:sz w:val="20"/>
                <w:szCs w:val="20"/>
              </w:rPr>
              <w:t xml:space="preserve"> – Information requirements – statement of ingredients</w:t>
            </w:r>
          </w:p>
          <w:p w14:paraId="1D4E97B7" w14:textId="77777777" w:rsidR="00B91159" w:rsidRDefault="00B91159" w:rsidP="00B91159">
            <w:pPr>
              <w:rPr>
                <w:sz w:val="20"/>
                <w:szCs w:val="20"/>
              </w:rPr>
            </w:pPr>
            <w:r>
              <w:rPr>
                <w:sz w:val="20"/>
                <w:szCs w:val="20"/>
              </w:rPr>
              <w:t>(continued)</w:t>
            </w:r>
          </w:p>
          <w:p w14:paraId="58167B62" w14:textId="137A08C5" w:rsidR="00B91159" w:rsidRPr="00EF5C53" w:rsidRDefault="00B91159" w:rsidP="00FF2B27">
            <w:pPr>
              <w:rPr>
                <w:sz w:val="20"/>
                <w:szCs w:val="20"/>
              </w:rPr>
            </w:pPr>
          </w:p>
        </w:tc>
        <w:tc>
          <w:tcPr>
            <w:tcW w:w="2210" w:type="pct"/>
          </w:tcPr>
          <w:p w14:paraId="3E9966E5" w14:textId="77777777" w:rsidR="008C603C" w:rsidRDefault="008C603C" w:rsidP="00BF1993">
            <w:pPr>
              <w:pStyle w:val="Clause"/>
              <w:rPr>
                <w:b/>
              </w:rPr>
            </w:pPr>
            <w:r>
              <w:rPr>
                <w:b/>
              </w:rPr>
              <w:lastRenderedPageBreak/>
              <w:t xml:space="preserve">Ingredients to be listed by common, descriptive or generic name </w:t>
            </w:r>
          </w:p>
          <w:p w14:paraId="71884E2B" w14:textId="1E0D22DB" w:rsidR="008C603C" w:rsidRDefault="008C603C" w:rsidP="00BF1993">
            <w:pPr>
              <w:pStyle w:val="Clause"/>
            </w:pPr>
            <w:r>
              <w:t>(section 1.2.4</w:t>
            </w:r>
            <w:r>
              <w:rPr>
                <w:rFonts w:cs="Arial"/>
              </w:rPr>
              <w:t>―4</w:t>
            </w:r>
            <w:r>
              <w:t>)</w:t>
            </w:r>
          </w:p>
          <w:p w14:paraId="152BB339" w14:textId="77777777" w:rsidR="008C603C" w:rsidRPr="00A21559" w:rsidRDefault="008C603C" w:rsidP="00A21559"/>
          <w:p w14:paraId="0D269444" w14:textId="1B45502C" w:rsidR="008C603C" w:rsidRPr="00652856" w:rsidRDefault="008C603C" w:rsidP="00652856">
            <w:pPr>
              <w:pStyle w:val="Clause"/>
            </w:pPr>
            <w:r>
              <w:t>A statement of ingredients must identify each ingredient using any of:</w:t>
            </w:r>
          </w:p>
          <w:p w14:paraId="0784789D" w14:textId="1F12CC05" w:rsidR="008C603C" w:rsidRPr="00EF5C53" w:rsidRDefault="008C603C" w:rsidP="00BF1993">
            <w:pPr>
              <w:pStyle w:val="Paragraph"/>
              <w:spacing w:before="120"/>
              <w:ind w:left="567" w:hanging="567"/>
            </w:pPr>
            <w:r w:rsidRPr="00EF5C53">
              <w:t>(</w:t>
            </w:r>
            <w:r>
              <w:t>i</w:t>
            </w:r>
            <w:r w:rsidRPr="00EF5C53">
              <w:t>)</w:t>
            </w:r>
            <w:r w:rsidRPr="00EF5C53">
              <w:tab/>
            </w:r>
            <w:r>
              <w:t>a name by which the ingredient is commonly known; or</w:t>
            </w:r>
          </w:p>
          <w:p w14:paraId="0013D2F7" w14:textId="78C518DB" w:rsidR="008C603C" w:rsidRPr="00EF5C53" w:rsidRDefault="008C603C" w:rsidP="00BF1993">
            <w:pPr>
              <w:pStyle w:val="Paragraph"/>
              <w:spacing w:before="120"/>
              <w:ind w:left="567" w:hanging="567"/>
            </w:pPr>
            <w:r w:rsidRPr="00EF5C53">
              <w:t>(</w:t>
            </w:r>
            <w:r>
              <w:t>ii</w:t>
            </w:r>
            <w:r w:rsidRPr="00EF5C53">
              <w:t>)</w:t>
            </w:r>
            <w:r w:rsidRPr="00EF5C53">
              <w:tab/>
              <w:t>a name that describes the true nature of the ingredient; or</w:t>
            </w:r>
          </w:p>
          <w:p w14:paraId="1390FC7D" w14:textId="151D3FC4" w:rsidR="008C603C" w:rsidRDefault="008C603C" w:rsidP="00BF1993">
            <w:pPr>
              <w:pStyle w:val="Paragraph"/>
              <w:spacing w:before="120"/>
              <w:ind w:left="567" w:hanging="567"/>
            </w:pPr>
            <w:r>
              <w:t>(iii</w:t>
            </w:r>
            <w:r w:rsidRPr="00EF5C53">
              <w:t>)</w:t>
            </w:r>
            <w:r w:rsidRPr="00EF5C53">
              <w:tab/>
            </w:r>
            <w:r>
              <w:t>a generic name for the ingredient that is specified in Schedule 10, in accordance with any conditions specific in that Schedule.</w:t>
            </w:r>
          </w:p>
          <w:p w14:paraId="48559463" w14:textId="77777777" w:rsidR="008C603C" w:rsidRDefault="008C603C" w:rsidP="00652856"/>
          <w:p w14:paraId="3C330813" w14:textId="0202951F" w:rsidR="008C603C" w:rsidRPr="00EF5C53" w:rsidDel="00BF1993" w:rsidRDefault="008C603C" w:rsidP="003C6082">
            <w:pPr>
              <w:spacing w:after="120"/>
            </w:pPr>
            <w:r>
              <w:rPr>
                <w:rFonts w:cs="Arial"/>
                <w:sz w:val="20"/>
                <w:szCs w:val="20"/>
              </w:rPr>
              <w:t>(See relevant provisions in Schedule 10 further below)</w:t>
            </w:r>
          </w:p>
        </w:tc>
        <w:tc>
          <w:tcPr>
            <w:tcW w:w="2209" w:type="pct"/>
          </w:tcPr>
          <w:p w14:paraId="7D81727A" w14:textId="24111811" w:rsidR="008C603C" w:rsidRDefault="008C603C" w:rsidP="00D032E2">
            <w:pPr>
              <w:pStyle w:val="Clause"/>
            </w:pPr>
            <w:r>
              <w:t>These requirements may need amending to require the generic terms ‘added sugars’, ‘added fats’ and/or ‘added vegetable oils’ followed by a bracketed list of the specific ingredients.</w:t>
            </w:r>
          </w:p>
          <w:p w14:paraId="6A11A7E1" w14:textId="77777777" w:rsidR="008C603C" w:rsidRDefault="008C603C" w:rsidP="00C03530"/>
          <w:p w14:paraId="0CC99F09" w14:textId="7F39DC23" w:rsidR="008C603C" w:rsidRPr="007C72FB" w:rsidRDefault="008C603C" w:rsidP="00036DAA">
            <w:r>
              <w:rPr>
                <w:rFonts w:cs="Arial"/>
                <w:sz w:val="20"/>
                <w:szCs w:val="20"/>
              </w:rPr>
              <w:t xml:space="preserve">FSANZ notes that Recommendation 12 refers to </w:t>
            </w:r>
            <w:r w:rsidRPr="00BB6EA3">
              <w:rPr>
                <w:rFonts w:cs="Arial"/>
                <w:sz w:val="20"/>
                <w:szCs w:val="20"/>
              </w:rPr>
              <w:t>ingredients (plural)</w:t>
            </w:r>
            <w:r>
              <w:rPr>
                <w:rFonts w:cs="Arial"/>
                <w:sz w:val="20"/>
                <w:szCs w:val="20"/>
              </w:rPr>
              <w:t xml:space="preserve"> in the ‘added’ bracketed lists. It is not clear what was intended if only one ‘added’ ingredient was present in the food (e.g. one added sugar ingredient). Whether the generic ‘added’ term would be required followed in brackets by the one ingredient would need to be determined. The implications of changing labels in respect of one added ingredient would need to be assessed.</w:t>
            </w:r>
          </w:p>
        </w:tc>
      </w:tr>
      <w:tr w:rsidR="008C603C" w14:paraId="5F4B4B89" w14:textId="77777777" w:rsidTr="006F35D7">
        <w:tc>
          <w:tcPr>
            <w:tcW w:w="581" w:type="pct"/>
            <w:vMerge/>
          </w:tcPr>
          <w:p w14:paraId="146FA8F8" w14:textId="76C789E2" w:rsidR="008C603C" w:rsidRPr="00EF5C53" w:rsidRDefault="008C603C" w:rsidP="00FB4E2A">
            <w:pPr>
              <w:rPr>
                <w:sz w:val="20"/>
                <w:szCs w:val="20"/>
              </w:rPr>
            </w:pPr>
          </w:p>
        </w:tc>
        <w:tc>
          <w:tcPr>
            <w:tcW w:w="2210" w:type="pct"/>
          </w:tcPr>
          <w:p w14:paraId="1AB1EA5E" w14:textId="294EE89A" w:rsidR="008C603C" w:rsidRDefault="008C603C" w:rsidP="00520A77">
            <w:pPr>
              <w:spacing w:before="20" w:after="20"/>
              <w:rPr>
                <w:rFonts w:cs="Arial"/>
                <w:sz w:val="20"/>
                <w:szCs w:val="20"/>
              </w:rPr>
            </w:pPr>
            <w:r>
              <w:rPr>
                <w:rFonts w:cs="Arial"/>
                <w:b/>
                <w:sz w:val="20"/>
                <w:szCs w:val="20"/>
              </w:rPr>
              <w:t xml:space="preserve">Ingredients to be listed in descending order of ingoing weight </w:t>
            </w:r>
            <w:r>
              <w:rPr>
                <w:rFonts w:cs="Arial"/>
                <w:sz w:val="20"/>
                <w:szCs w:val="20"/>
              </w:rPr>
              <w:t>(</w:t>
            </w:r>
            <w:r w:rsidRPr="009C184D">
              <w:rPr>
                <w:sz w:val="20"/>
                <w:szCs w:val="20"/>
              </w:rPr>
              <w:t>section 1.</w:t>
            </w:r>
            <w:r>
              <w:rPr>
                <w:sz w:val="20"/>
                <w:szCs w:val="20"/>
              </w:rPr>
              <w:t>2</w:t>
            </w:r>
            <w:r w:rsidRPr="009C184D">
              <w:rPr>
                <w:sz w:val="20"/>
                <w:szCs w:val="20"/>
              </w:rPr>
              <w:t>.4</w:t>
            </w:r>
            <w:r w:rsidRPr="009C184D">
              <w:rPr>
                <w:rFonts w:cs="Arial"/>
                <w:sz w:val="20"/>
                <w:szCs w:val="20"/>
              </w:rPr>
              <w:t>―</w:t>
            </w:r>
            <w:r>
              <w:rPr>
                <w:rFonts w:cs="Arial"/>
                <w:sz w:val="20"/>
                <w:szCs w:val="20"/>
              </w:rPr>
              <w:t>5</w:t>
            </w:r>
            <w:r w:rsidRPr="009C184D">
              <w:rPr>
                <w:rFonts w:cs="Arial"/>
                <w:sz w:val="20"/>
                <w:szCs w:val="20"/>
              </w:rPr>
              <w:t>)</w:t>
            </w:r>
          </w:p>
          <w:p w14:paraId="3678DB6F" w14:textId="77777777" w:rsidR="008C603C" w:rsidRPr="00A21559" w:rsidRDefault="008C603C" w:rsidP="00520A77">
            <w:pPr>
              <w:spacing w:before="20" w:after="20"/>
              <w:rPr>
                <w:rFonts w:cs="Arial"/>
                <w:sz w:val="20"/>
                <w:szCs w:val="20"/>
              </w:rPr>
            </w:pPr>
          </w:p>
          <w:p w14:paraId="52645082" w14:textId="385254F8" w:rsidR="00FB7F86" w:rsidRPr="00EF5C53" w:rsidDel="00BF1993" w:rsidRDefault="008C603C" w:rsidP="003C6082">
            <w:pPr>
              <w:pStyle w:val="ListParagraph"/>
              <w:numPr>
                <w:ilvl w:val="0"/>
                <w:numId w:val="27"/>
              </w:numPr>
              <w:spacing w:before="20" w:after="120"/>
              <w:ind w:left="612" w:hanging="567"/>
            </w:pPr>
            <w:r w:rsidRPr="003C6082">
              <w:rPr>
                <w:rFonts w:cs="Arial"/>
                <w:sz w:val="20"/>
                <w:szCs w:val="20"/>
              </w:rPr>
              <w:t xml:space="preserve">A statement of ingredients must list each ingredient in descending order of ingoing weight. </w:t>
            </w:r>
          </w:p>
        </w:tc>
        <w:tc>
          <w:tcPr>
            <w:tcW w:w="2209" w:type="pct"/>
          </w:tcPr>
          <w:p w14:paraId="33C31D64" w14:textId="6788F932" w:rsidR="008C603C" w:rsidRPr="007C72FB" w:rsidRDefault="008C603C" w:rsidP="0018002A">
            <w:pPr>
              <w:spacing w:after="120"/>
              <w:rPr>
                <w:rFonts w:cs="Arial"/>
                <w:sz w:val="20"/>
                <w:szCs w:val="20"/>
              </w:rPr>
            </w:pPr>
            <w:r>
              <w:rPr>
                <w:rFonts w:cs="Arial"/>
                <w:sz w:val="20"/>
                <w:szCs w:val="20"/>
              </w:rPr>
              <w:t xml:space="preserve">A determination would need to be made about how to order the groups of added sugars, added fats and/or added vegetable oils in the statement of ingredients, and how to order the specific ingredients within the bracketed lists of these groups. Further discussion on this issue is provided in </w:t>
            </w:r>
            <w:r w:rsidRPr="00B91159">
              <w:rPr>
                <w:rFonts w:cs="Arial"/>
                <w:sz w:val="20"/>
                <w:szCs w:val="20"/>
              </w:rPr>
              <w:t xml:space="preserve">section </w:t>
            </w:r>
            <w:r w:rsidR="0018002A" w:rsidRPr="00B91159">
              <w:rPr>
                <w:rFonts w:cs="Arial"/>
                <w:sz w:val="20"/>
                <w:szCs w:val="20"/>
              </w:rPr>
              <w:t>2.1</w:t>
            </w:r>
            <w:r w:rsidRPr="00B91159">
              <w:rPr>
                <w:rFonts w:cs="Arial"/>
                <w:sz w:val="20"/>
                <w:szCs w:val="20"/>
              </w:rPr>
              <w:t xml:space="preserve"> above</w:t>
            </w:r>
            <w:r>
              <w:rPr>
                <w:rFonts w:cs="Arial"/>
                <w:sz w:val="20"/>
                <w:szCs w:val="20"/>
              </w:rPr>
              <w:t xml:space="preserve">. </w:t>
            </w:r>
          </w:p>
        </w:tc>
      </w:tr>
      <w:tr w:rsidR="008C603C" w14:paraId="3173C59D" w14:textId="77777777" w:rsidTr="006F35D7">
        <w:tc>
          <w:tcPr>
            <w:tcW w:w="581" w:type="pct"/>
            <w:vMerge/>
          </w:tcPr>
          <w:p w14:paraId="669DA82D" w14:textId="6ED5A177" w:rsidR="008C603C" w:rsidRPr="00EF5C53" w:rsidRDefault="008C603C" w:rsidP="00FB4E2A">
            <w:pPr>
              <w:rPr>
                <w:sz w:val="20"/>
                <w:szCs w:val="20"/>
              </w:rPr>
            </w:pPr>
          </w:p>
        </w:tc>
        <w:tc>
          <w:tcPr>
            <w:tcW w:w="2210" w:type="pct"/>
          </w:tcPr>
          <w:p w14:paraId="68F4AEFE" w14:textId="77777777" w:rsidR="008C603C" w:rsidRDefault="008C603C" w:rsidP="008635A0">
            <w:pPr>
              <w:spacing w:before="20" w:after="20"/>
              <w:rPr>
                <w:rFonts w:eastAsia="Times New Roman" w:cs="Arial"/>
                <w:b/>
                <w:color w:val="000000"/>
                <w:sz w:val="20"/>
                <w:szCs w:val="20"/>
                <w:lang w:val="en-AU" w:eastAsia="en-AU"/>
              </w:rPr>
            </w:pPr>
            <w:r>
              <w:rPr>
                <w:rFonts w:eastAsia="Times New Roman" w:cs="Arial"/>
                <w:b/>
                <w:color w:val="000000"/>
                <w:sz w:val="20"/>
                <w:szCs w:val="20"/>
                <w:lang w:val="en-AU" w:eastAsia="en-AU"/>
              </w:rPr>
              <w:t xml:space="preserve">Listing of compound ingredients </w:t>
            </w:r>
          </w:p>
          <w:p w14:paraId="4949A548" w14:textId="0DEA3C83" w:rsidR="008C603C" w:rsidRDefault="008C603C" w:rsidP="008635A0">
            <w:pPr>
              <w:spacing w:before="20" w:after="20"/>
              <w:rPr>
                <w:rFonts w:eastAsia="Times New Roman" w:cs="Arial"/>
                <w:color w:val="000000"/>
                <w:sz w:val="20"/>
                <w:szCs w:val="20"/>
                <w:lang w:val="en-AU" w:eastAsia="en-AU"/>
              </w:rPr>
            </w:pPr>
            <w:r>
              <w:rPr>
                <w:rFonts w:eastAsia="Times New Roman" w:cs="Arial"/>
                <w:color w:val="000000"/>
                <w:sz w:val="20"/>
                <w:szCs w:val="20"/>
                <w:lang w:val="en-AU" w:eastAsia="en-AU"/>
              </w:rPr>
              <w:t xml:space="preserve">(subsections </w:t>
            </w:r>
            <w:r w:rsidRPr="009C184D">
              <w:rPr>
                <w:sz w:val="20"/>
                <w:szCs w:val="20"/>
              </w:rPr>
              <w:t>1.</w:t>
            </w:r>
            <w:r>
              <w:rPr>
                <w:sz w:val="20"/>
                <w:szCs w:val="20"/>
              </w:rPr>
              <w:t>2</w:t>
            </w:r>
            <w:r w:rsidRPr="009C184D">
              <w:rPr>
                <w:sz w:val="20"/>
                <w:szCs w:val="20"/>
              </w:rPr>
              <w:t>.4</w:t>
            </w:r>
            <w:r w:rsidRPr="009C184D">
              <w:rPr>
                <w:rFonts w:cs="Arial"/>
                <w:sz w:val="20"/>
                <w:szCs w:val="20"/>
              </w:rPr>
              <w:t>―</w:t>
            </w:r>
            <w:r>
              <w:rPr>
                <w:rFonts w:cs="Arial"/>
                <w:sz w:val="20"/>
                <w:szCs w:val="20"/>
              </w:rPr>
              <w:t>5(5) and (6)</w:t>
            </w:r>
            <w:r>
              <w:rPr>
                <w:rFonts w:eastAsia="Times New Roman" w:cs="Arial"/>
                <w:color w:val="000000"/>
                <w:sz w:val="20"/>
                <w:szCs w:val="20"/>
                <w:lang w:val="en-AU" w:eastAsia="en-AU"/>
              </w:rPr>
              <w:t>)</w:t>
            </w:r>
          </w:p>
          <w:p w14:paraId="29569A51" w14:textId="77777777" w:rsidR="008C603C" w:rsidRDefault="008C603C" w:rsidP="008635A0">
            <w:pPr>
              <w:spacing w:before="20" w:after="20"/>
              <w:rPr>
                <w:rFonts w:eastAsia="Times New Roman" w:cs="Arial"/>
                <w:color w:val="000000"/>
                <w:sz w:val="20"/>
                <w:szCs w:val="20"/>
                <w:lang w:val="en-AU" w:eastAsia="en-AU"/>
              </w:rPr>
            </w:pPr>
          </w:p>
          <w:p w14:paraId="7430296E" w14:textId="55A2B136" w:rsidR="008C603C" w:rsidRDefault="008C603C" w:rsidP="001A782D">
            <w:pPr>
              <w:spacing w:after="120"/>
              <w:ind w:left="278" w:hanging="278"/>
              <w:rPr>
                <w:rFonts w:eastAsia="Times New Roman" w:cs="Arial"/>
                <w:color w:val="000000"/>
                <w:sz w:val="20"/>
                <w:szCs w:val="20"/>
                <w:lang w:val="en-AU" w:eastAsia="en-AU"/>
              </w:rPr>
            </w:pPr>
            <w:r>
              <w:rPr>
                <w:rFonts w:eastAsia="Times New Roman" w:cs="Arial"/>
                <w:color w:val="000000"/>
                <w:sz w:val="20"/>
                <w:szCs w:val="20"/>
                <w:lang w:val="en-AU" w:eastAsia="en-AU"/>
              </w:rPr>
              <w:t xml:space="preserve">(5) </w:t>
            </w:r>
            <w:r w:rsidRPr="008635A0">
              <w:rPr>
                <w:rFonts w:eastAsia="Times New Roman" w:cs="Arial"/>
                <w:color w:val="000000"/>
                <w:sz w:val="20"/>
                <w:szCs w:val="20"/>
                <w:lang w:val="en-AU" w:eastAsia="en-AU"/>
              </w:rPr>
              <w:t xml:space="preserve">A </w:t>
            </w:r>
            <w:r w:rsidR="001B34D0">
              <w:rPr>
                <w:rFonts w:eastAsia="Times New Roman" w:cs="Arial"/>
                <w:color w:val="000000"/>
                <w:sz w:val="20"/>
                <w:szCs w:val="20"/>
                <w:lang w:val="en-AU" w:eastAsia="en-AU"/>
              </w:rPr>
              <w:t>*</w:t>
            </w:r>
            <w:r w:rsidRPr="008635A0">
              <w:rPr>
                <w:rFonts w:eastAsia="Times New Roman" w:cs="Arial"/>
                <w:color w:val="000000"/>
                <w:sz w:val="20"/>
                <w:szCs w:val="20"/>
                <w:lang w:val="en-AU" w:eastAsia="en-AU"/>
              </w:rPr>
              <w:t xml:space="preserve">compound ingredient must be </w:t>
            </w:r>
            <w:r>
              <w:rPr>
                <w:rFonts w:eastAsia="Times New Roman" w:cs="Arial"/>
                <w:color w:val="000000"/>
                <w:sz w:val="20"/>
                <w:szCs w:val="20"/>
                <w:lang w:val="en-AU" w:eastAsia="en-AU"/>
              </w:rPr>
              <w:t>listed in a</w:t>
            </w:r>
            <w:r w:rsidRPr="008635A0">
              <w:rPr>
                <w:rFonts w:eastAsia="Times New Roman" w:cs="Arial"/>
                <w:color w:val="000000"/>
                <w:sz w:val="20"/>
                <w:szCs w:val="20"/>
                <w:lang w:val="en-AU" w:eastAsia="en-AU"/>
              </w:rPr>
              <w:t xml:space="preserve"> statement of ingredients </w:t>
            </w:r>
            <w:r>
              <w:rPr>
                <w:rFonts w:eastAsia="Times New Roman" w:cs="Arial"/>
                <w:color w:val="000000"/>
                <w:sz w:val="20"/>
                <w:szCs w:val="20"/>
                <w:lang w:val="en-AU" w:eastAsia="en-AU"/>
              </w:rPr>
              <w:t>by listing:</w:t>
            </w:r>
          </w:p>
          <w:p w14:paraId="3B6CF7B5" w14:textId="6E22EBF9" w:rsidR="008C603C" w:rsidRDefault="008C603C" w:rsidP="001A782D">
            <w:pPr>
              <w:spacing w:after="120"/>
              <w:ind w:left="562" w:hanging="284"/>
              <w:rPr>
                <w:rFonts w:eastAsia="Times New Roman" w:cs="Arial"/>
                <w:color w:val="000000"/>
                <w:sz w:val="20"/>
                <w:szCs w:val="20"/>
                <w:lang w:val="en-AU" w:eastAsia="en-AU"/>
              </w:rPr>
            </w:pPr>
            <w:r>
              <w:rPr>
                <w:rFonts w:eastAsia="Times New Roman" w:cs="Arial"/>
                <w:color w:val="000000"/>
                <w:sz w:val="20"/>
                <w:szCs w:val="20"/>
                <w:lang w:val="en-AU" w:eastAsia="en-AU"/>
              </w:rPr>
              <w:lastRenderedPageBreak/>
              <w:t xml:space="preserve">(a) </w:t>
            </w:r>
            <w:r w:rsidRPr="008635A0">
              <w:rPr>
                <w:rFonts w:eastAsia="Times New Roman" w:cs="Arial"/>
                <w:color w:val="000000"/>
                <w:sz w:val="20"/>
                <w:szCs w:val="20"/>
                <w:lang w:val="en-AU" w:eastAsia="en-AU"/>
              </w:rPr>
              <w:t>the compound ingr</w:t>
            </w:r>
            <w:r>
              <w:rPr>
                <w:rFonts w:eastAsia="Times New Roman" w:cs="Arial"/>
                <w:color w:val="000000"/>
                <w:sz w:val="20"/>
                <w:szCs w:val="20"/>
                <w:lang w:val="en-AU" w:eastAsia="en-AU"/>
              </w:rPr>
              <w:t>edient by name as an ingredient of the food for sale in accordance with subsection (6) (below); or</w:t>
            </w:r>
          </w:p>
          <w:p w14:paraId="759C9AF9" w14:textId="1648A56A" w:rsidR="008C603C" w:rsidRPr="004B2515" w:rsidRDefault="008C603C" w:rsidP="001B34D0">
            <w:pPr>
              <w:spacing w:before="20" w:after="20"/>
              <w:ind w:left="612" w:hanging="334"/>
              <w:rPr>
                <w:rFonts w:eastAsia="Times New Roman" w:cs="Arial"/>
                <w:color w:val="000000"/>
                <w:sz w:val="20"/>
                <w:szCs w:val="20"/>
                <w:lang w:val="en-AU" w:eastAsia="en-AU"/>
              </w:rPr>
            </w:pPr>
            <w:r>
              <w:rPr>
                <w:rFonts w:eastAsia="Times New Roman" w:cs="Arial"/>
                <w:color w:val="000000"/>
                <w:sz w:val="20"/>
                <w:szCs w:val="20"/>
                <w:lang w:val="en-AU" w:eastAsia="en-AU"/>
              </w:rPr>
              <w:t xml:space="preserve">(b) </w:t>
            </w:r>
            <w:r>
              <w:rPr>
                <w:rFonts w:cs="Arial"/>
                <w:color w:val="000000"/>
                <w:sz w:val="20"/>
                <w:szCs w:val="20"/>
                <w:lang w:val="en-AU" w:eastAsia="en-AU"/>
              </w:rPr>
              <w:t>each ingredient</w:t>
            </w:r>
            <w:r w:rsidRPr="008635A0">
              <w:rPr>
                <w:rFonts w:cs="Arial"/>
                <w:color w:val="000000"/>
                <w:sz w:val="20"/>
                <w:szCs w:val="20"/>
                <w:lang w:val="en-AU" w:eastAsia="en-AU"/>
              </w:rPr>
              <w:t xml:space="preserve"> of th</w:t>
            </w:r>
            <w:r>
              <w:rPr>
                <w:rFonts w:cs="Arial"/>
                <w:color w:val="000000"/>
                <w:sz w:val="20"/>
                <w:szCs w:val="20"/>
                <w:lang w:val="en-AU" w:eastAsia="en-AU"/>
              </w:rPr>
              <w:t>e compound ingredient individually</w:t>
            </w:r>
            <w:r w:rsidRPr="008635A0">
              <w:rPr>
                <w:rFonts w:cs="Arial"/>
                <w:color w:val="000000"/>
                <w:sz w:val="20"/>
                <w:szCs w:val="20"/>
                <w:lang w:val="en-AU" w:eastAsia="en-AU"/>
              </w:rPr>
              <w:t xml:space="preserve"> as </w:t>
            </w:r>
            <w:r w:rsidR="001B34D0">
              <w:rPr>
                <w:rFonts w:cs="Arial"/>
                <w:color w:val="000000"/>
                <w:sz w:val="20"/>
                <w:szCs w:val="20"/>
                <w:lang w:val="en-AU" w:eastAsia="en-AU"/>
              </w:rPr>
              <w:t xml:space="preserve">an </w:t>
            </w:r>
            <w:r>
              <w:rPr>
                <w:rFonts w:cs="Arial"/>
                <w:color w:val="000000"/>
                <w:sz w:val="20"/>
                <w:szCs w:val="20"/>
                <w:lang w:val="en-AU" w:eastAsia="en-AU"/>
              </w:rPr>
              <w:t>ingredient of the food for sale</w:t>
            </w:r>
            <w:r w:rsidRPr="008635A0">
              <w:rPr>
                <w:rFonts w:cs="Arial"/>
                <w:color w:val="000000"/>
                <w:sz w:val="20"/>
                <w:szCs w:val="20"/>
                <w:lang w:val="en-AU" w:eastAsia="en-AU"/>
              </w:rPr>
              <w:t>.</w:t>
            </w:r>
          </w:p>
          <w:p w14:paraId="07C54526" w14:textId="77777777" w:rsidR="008C603C" w:rsidRDefault="008C603C" w:rsidP="004B2515">
            <w:pPr>
              <w:spacing w:before="20" w:after="20"/>
              <w:contextualSpacing/>
              <w:rPr>
                <w:rFonts w:eastAsia="Times New Roman" w:cs="Arial"/>
                <w:color w:val="000000"/>
                <w:sz w:val="20"/>
                <w:szCs w:val="20"/>
                <w:lang w:val="en-AU" w:eastAsia="en-AU"/>
              </w:rPr>
            </w:pPr>
          </w:p>
          <w:p w14:paraId="62BB00C4" w14:textId="7AE87663" w:rsidR="008C603C" w:rsidRDefault="008C603C" w:rsidP="001A782D">
            <w:pPr>
              <w:spacing w:after="120"/>
              <w:ind w:left="278" w:hanging="278"/>
              <w:contextualSpacing/>
              <w:rPr>
                <w:rFonts w:eastAsia="Times New Roman" w:cs="Arial"/>
                <w:color w:val="000000"/>
                <w:sz w:val="20"/>
                <w:szCs w:val="20"/>
                <w:lang w:val="en-AU" w:eastAsia="en-AU"/>
              </w:rPr>
            </w:pPr>
            <w:r>
              <w:rPr>
                <w:rFonts w:eastAsia="Times New Roman" w:cs="Arial"/>
                <w:color w:val="000000"/>
                <w:sz w:val="20"/>
                <w:szCs w:val="20"/>
                <w:lang w:val="en-AU" w:eastAsia="en-AU"/>
              </w:rPr>
              <w:t>(6) If a compound ingredient is listed in accordance with paragraph (5)(a) (above), it must be followed by a list, in brackets, of:</w:t>
            </w:r>
          </w:p>
          <w:p w14:paraId="3B193A17" w14:textId="347CD5D4" w:rsidR="008C603C" w:rsidRPr="004B2515" w:rsidRDefault="008C603C" w:rsidP="001A782D">
            <w:pPr>
              <w:pStyle w:val="ListParagraph"/>
              <w:numPr>
                <w:ilvl w:val="0"/>
                <w:numId w:val="7"/>
              </w:numPr>
              <w:spacing w:before="20" w:after="120"/>
              <w:ind w:left="714" w:hanging="357"/>
              <w:contextualSpacing w:val="0"/>
              <w:rPr>
                <w:rFonts w:eastAsia="Times New Roman" w:cs="Arial"/>
                <w:color w:val="000000"/>
                <w:sz w:val="20"/>
                <w:szCs w:val="20"/>
                <w:lang w:val="en-AU" w:eastAsia="en-AU"/>
              </w:rPr>
            </w:pPr>
            <w:r w:rsidRPr="004B2515">
              <w:rPr>
                <w:rFonts w:eastAsia="Times New Roman" w:cs="Arial"/>
                <w:color w:val="000000"/>
                <w:sz w:val="20"/>
                <w:szCs w:val="20"/>
                <w:lang w:val="en-AU" w:eastAsia="en-AU"/>
              </w:rPr>
              <w:t>if the compound ingredient comprises 5% or more of the food</w:t>
            </w:r>
            <w:r>
              <w:rPr>
                <w:rFonts w:eastAsia="Times New Roman" w:cs="Arial"/>
                <w:color w:val="000000"/>
                <w:sz w:val="20"/>
                <w:szCs w:val="20"/>
                <w:lang w:val="en-AU" w:eastAsia="en-AU"/>
              </w:rPr>
              <w:t xml:space="preserve"> for sale</w:t>
            </w:r>
            <w:r w:rsidRPr="004B2515">
              <w:rPr>
                <w:rFonts w:eastAsia="Times New Roman" w:cs="Arial"/>
                <w:color w:val="000000"/>
                <w:sz w:val="20"/>
                <w:szCs w:val="20"/>
                <w:lang w:val="en-AU" w:eastAsia="en-AU"/>
              </w:rPr>
              <w:t xml:space="preserve"> – all ingredients that make up the compound ingredient</w:t>
            </w:r>
            <w:r>
              <w:rPr>
                <w:rFonts w:eastAsia="Times New Roman" w:cs="Arial"/>
                <w:color w:val="000000"/>
                <w:sz w:val="20"/>
                <w:szCs w:val="20"/>
                <w:lang w:val="en-AU" w:eastAsia="en-AU"/>
              </w:rPr>
              <w:t>; or</w:t>
            </w:r>
          </w:p>
          <w:p w14:paraId="42BCD183" w14:textId="77777777" w:rsidR="001B34D0" w:rsidRDefault="008C603C" w:rsidP="001A782D">
            <w:pPr>
              <w:pStyle w:val="ListParagraph"/>
              <w:numPr>
                <w:ilvl w:val="0"/>
                <w:numId w:val="7"/>
              </w:numPr>
              <w:spacing w:before="20" w:after="20"/>
              <w:rPr>
                <w:rFonts w:eastAsia="Times New Roman" w:cs="Arial"/>
                <w:color w:val="000000"/>
                <w:sz w:val="20"/>
                <w:szCs w:val="20"/>
                <w:lang w:val="en-AU" w:eastAsia="en-AU"/>
              </w:rPr>
            </w:pPr>
            <w:r>
              <w:rPr>
                <w:rFonts w:eastAsia="Times New Roman" w:cs="Arial"/>
                <w:color w:val="000000"/>
                <w:sz w:val="20"/>
                <w:szCs w:val="20"/>
                <w:lang w:val="en-AU" w:eastAsia="en-AU"/>
              </w:rPr>
              <w:t xml:space="preserve">if the compound ingredient comprises less than 5% of the food for sale – </w:t>
            </w:r>
            <w:r w:rsidR="001B34D0">
              <w:rPr>
                <w:rFonts w:eastAsia="Times New Roman" w:cs="Arial"/>
                <w:color w:val="000000"/>
                <w:sz w:val="20"/>
                <w:szCs w:val="20"/>
                <w:lang w:val="en-AU" w:eastAsia="en-AU"/>
              </w:rPr>
              <w:t>the following ingredients:</w:t>
            </w:r>
          </w:p>
          <w:p w14:paraId="0BEB3E88" w14:textId="77777777" w:rsidR="001B34D0" w:rsidRDefault="008C603C" w:rsidP="001B34D0">
            <w:pPr>
              <w:pStyle w:val="ListParagraph"/>
              <w:numPr>
                <w:ilvl w:val="0"/>
                <w:numId w:val="32"/>
              </w:numPr>
              <w:spacing w:before="20" w:after="20"/>
              <w:ind w:left="1179" w:hanging="459"/>
              <w:rPr>
                <w:rFonts w:eastAsia="Times New Roman" w:cs="Arial"/>
                <w:color w:val="000000"/>
                <w:sz w:val="20"/>
                <w:szCs w:val="20"/>
                <w:lang w:val="en-AU" w:eastAsia="en-AU"/>
              </w:rPr>
            </w:pPr>
            <w:r>
              <w:rPr>
                <w:rFonts w:eastAsia="Times New Roman" w:cs="Arial"/>
                <w:color w:val="000000"/>
                <w:sz w:val="20"/>
                <w:szCs w:val="20"/>
                <w:lang w:val="en-AU" w:eastAsia="en-AU"/>
              </w:rPr>
              <w:t xml:space="preserve">any ingredient of the compound ingredient that is required to be listed in accordance with section </w:t>
            </w:r>
            <w:r w:rsidRPr="009C184D">
              <w:rPr>
                <w:sz w:val="20"/>
                <w:szCs w:val="20"/>
              </w:rPr>
              <w:t>1.</w:t>
            </w:r>
            <w:r>
              <w:rPr>
                <w:sz w:val="20"/>
                <w:szCs w:val="20"/>
              </w:rPr>
              <w:t>2</w:t>
            </w:r>
            <w:r w:rsidRPr="009C184D">
              <w:rPr>
                <w:sz w:val="20"/>
                <w:szCs w:val="20"/>
              </w:rPr>
              <w:t>.</w:t>
            </w:r>
            <w:r>
              <w:rPr>
                <w:sz w:val="20"/>
                <w:szCs w:val="20"/>
              </w:rPr>
              <w:t>3</w:t>
            </w:r>
            <w:r w:rsidRPr="009C184D">
              <w:rPr>
                <w:rFonts w:cs="Arial"/>
                <w:sz w:val="20"/>
                <w:szCs w:val="20"/>
              </w:rPr>
              <w:t>―</w:t>
            </w:r>
            <w:r>
              <w:rPr>
                <w:rFonts w:cs="Arial"/>
                <w:sz w:val="20"/>
                <w:szCs w:val="20"/>
              </w:rPr>
              <w:t>4</w:t>
            </w:r>
            <w:r>
              <w:rPr>
                <w:rFonts w:eastAsia="Times New Roman" w:cs="Arial"/>
                <w:color w:val="000000"/>
                <w:sz w:val="20"/>
                <w:szCs w:val="20"/>
                <w:lang w:val="en-AU" w:eastAsia="en-AU"/>
              </w:rPr>
              <w:t xml:space="preserve"> (i.e. food aller</w:t>
            </w:r>
            <w:r w:rsidR="001B34D0">
              <w:rPr>
                <w:rFonts w:eastAsia="Times New Roman" w:cs="Arial"/>
                <w:color w:val="000000"/>
                <w:sz w:val="20"/>
                <w:szCs w:val="20"/>
                <w:lang w:val="en-AU" w:eastAsia="en-AU"/>
              </w:rPr>
              <w:t>gens);</w:t>
            </w:r>
            <w:r>
              <w:rPr>
                <w:rFonts w:eastAsia="Times New Roman" w:cs="Arial"/>
                <w:color w:val="000000"/>
                <w:sz w:val="20"/>
                <w:szCs w:val="20"/>
                <w:lang w:val="en-AU" w:eastAsia="en-AU"/>
              </w:rPr>
              <w:t xml:space="preserve"> and </w:t>
            </w:r>
          </w:p>
          <w:p w14:paraId="51D66ADB" w14:textId="140E1280" w:rsidR="008C603C" w:rsidRDefault="008C603C" w:rsidP="001B34D0">
            <w:pPr>
              <w:pStyle w:val="ListParagraph"/>
              <w:numPr>
                <w:ilvl w:val="0"/>
                <w:numId w:val="32"/>
              </w:numPr>
              <w:spacing w:before="20" w:after="20"/>
              <w:ind w:left="1179" w:hanging="459"/>
              <w:rPr>
                <w:rFonts w:eastAsia="Times New Roman" w:cs="Arial"/>
                <w:color w:val="000000"/>
                <w:sz w:val="20"/>
                <w:szCs w:val="20"/>
                <w:lang w:val="en-AU" w:eastAsia="en-AU"/>
              </w:rPr>
            </w:pPr>
            <w:r>
              <w:rPr>
                <w:rFonts w:eastAsia="Times New Roman" w:cs="Arial"/>
                <w:color w:val="000000"/>
                <w:sz w:val="20"/>
                <w:szCs w:val="20"/>
                <w:lang w:val="en-AU" w:eastAsia="en-AU"/>
              </w:rPr>
              <w:t xml:space="preserve">any substance used as a food additive </w:t>
            </w:r>
            <w:r w:rsidR="001B34D0">
              <w:rPr>
                <w:rFonts w:eastAsia="Times New Roman" w:cs="Arial"/>
                <w:color w:val="000000"/>
                <w:sz w:val="20"/>
                <w:szCs w:val="20"/>
                <w:lang w:val="en-AU" w:eastAsia="en-AU"/>
              </w:rPr>
              <w:t xml:space="preserve">in the compound ingredient </w:t>
            </w:r>
            <w:r>
              <w:rPr>
                <w:rFonts w:eastAsia="Times New Roman" w:cs="Arial"/>
                <w:color w:val="000000"/>
                <w:sz w:val="20"/>
                <w:szCs w:val="20"/>
                <w:lang w:val="en-AU" w:eastAsia="en-AU"/>
              </w:rPr>
              <w:t>that p</w:t>
            </w:r>
            <w:r w:rsidR="001B34D0">
              <w:rPr>
                <w:rFonts w:eastAsia="Times New Roman" w:cs="Arial"/>
                <w:color w:val="000000"/>
                <w:sz w:val="20"/>
                <w:szCs w:val="20"/>
                <w:lang w:val="en-AU" w:eastAsia="en-AU"/>
              </w:rPr>
              <w:t>erforms a technological purpose</w:t>
            </w:r>
            <w:r>
              <w:rPr>
                <w:rFonts w:eastAsia="Times New Roman" w:cs="Arial"/>
                <w:color w:val="000000"/>
                <w:sz w:val="20"/>
                <w:szCs w:val="20"/>
                <w:lang w:val="en-AU" w:eastAsia="en-AU"/>
              </w:rPr>
              <w:t xml:space="preserve"> in the food for sale.</w:t>
            </w:r>
          </w:p>
          <w:p w14:paraId="48A91C69" w14:textId="77777777" w:rsidR="008C603C" w:rsidRDefault="008C603C" w:rsidP="00A21559">
            <w:pPr>
              <w:spacing w:before="20" w:after="20"/>
              <w:contextualSpacing/>
              <w:rPr>
                <w:rFonts w:cs="Arial"/>
                <w:color w:val="000000"/>
                <w:sz w:val="20"/>
                <w:szCs w:val="20"/>
                <w:lang w:val="en-AU" w:eastAsia="en-AU"/>
              </w:rPr>
            </w:pPr>
          </w:p>
          <w:p w14:paraId="3BDC59E0" w14:textId="0609F3F0" w:rsidR="00FB7F86" w:rsidRPr="008635A0" w:rsidDel="00BF1993" w:rsidRDefault="001B34D0" w:rsidP="003C6082">
            <w:pPr>
              <w:spacing w:before="20" w:after="120"/>
              <w:rPr>
                <w:rFonts w:eastAsia="Times New Roman" w:cs="Arial"/>
                <w:color w:val="000000"/>
                <w:szCs w:val="20"/>
                <w:lang w:val="en-AU" w:eastAsia="en-AU"/>
              </w:rPr>
            </w:pPr>
            <w:r>
              <w:rPr>
                <w:rFonts w:cs="Arial"/>
                <w:b/>
                <w:color w:val="000000"/>
                <w:sz w:val="20"/>
                <w:szCs w:val="20"/>
                <w:lang w:val="en-AU" w:eastAsia="en-AU"/>
              </w:rPr>
              <w:t>*</w:t>
            </w:r>
            <w:r w:rsidR="008C603C">
              <w:rPr>
                <w:rFonts w:cs="Arial"/>
                <w:b/>
                <w:color w:val="000000"/>
                <w:sz w:val="20"/>
                <w:szCs w:val="20"/>
                <w:lang w:val="en-AU" w:eastAsia="en-AU"/>
              </w:rPr>
              <w:t>c</w:t>
            </w:r>
            <w:r w:rsidR="008C603C" w:rsidRPr="00A21559">
              <w:rPr>
                <w:rFonts w:cs="Arial"/>
                <w:b/>
                <w:color w:val="000000"/>
                <w:sz w:val="20"/>
                <w:szCs w:val="20"/>
                <w:lang w:val="en-AU" w:eastAsia="en-AU"/>
              </w:rPr>
              <w:t>ompound ingredient</w:t>
            </w:r>
            <w:r w:rsidR="008C603C">
              <w:rPr>
                <w:rFonts w:cs="Arial"/>
                <w:color w:val="000000"/>
                <w:sz w:val="20"/>
                <w:szCs w:val="20"/>
                <w:lang w:val="en-AU" w:eastAsia="en-AU"/>
              </w:rPr>
              <w:t xml:space="preserve"> means an ingredient of a food which is itself made from two or more ingredients (subsection</w:t>
            </w:r>
            <w:r w:rsidR="00FB5F85">
              <w:rPr>
                <w:rFonts w:cs="Arial"/>
                <w:color w:val="000000"/>
                <w:sz w:val="20"/>
                <w:szCs w:val="20"/>
                <w:lang w:val="en-AU" w:eastAsia="en-AU"/>
              </w:rPr>
              <w:t xml:space="preserve"> </w:t>
            </w:r>
            <w:r w:rsidR="008C603C" w:rsidRPr="009C184D">
              <w:rPr>
                <w:sz w:val="20"/>
                <w:szCs w:val="20"/>
              </w:rPr>
              <w:t>1.</w:t>
            </w:r>
            <w:r w:rsidR="008C603C">
              <w:rPr>
                <w:sz w:val="20"/>
                <w:szCs w:val="20"/>
              </w:rPr>
              <w:t>1.2</w:t>
            </w:r>
            <w:r w:rsidR="008C603C" w:rsidRPr="009C184D">
              <w:rPr>
                <w:rFonts w:cs="Arial"/>
                <w:sz w:val="20"/>
                <w:szCs w:val="20"/>
              </w:rPr>
              <w:t>―</w:t>
            </w:r>
            <w:r w:rsidR="008C603C">
              <w:rPr>
                <w:rFonts w:cs="Arial"/>
                <w:sz w:val="20"/>
                <w:szCs w:val="20"/>
              </w:rPr>
              <w:t>2(3) of Standard 1.1.2</w:t>
            </w:r>
            <w:r w:rsidR="008C603C">
              <w:rPr>
                <w:rFonts w:cs="Arial"/>
                <w:color w:val="000000"/>
                <w:sz w:val="20"/>
                <w:szCs w:val="20"/>
                <w:lang w:val="en-AU" w:eastAsia="en-AU"/>
              </w:rPr>
              <w:t>).</w:t>
            </w:r>
          </w:p>
        </w:tc>
        <w:tc>
          <w:tcPr>
            <w:tcW w:w="2209" w:type="pct"/>
          </w:tcPr>
          <w:p w14:paraId="74851B43" w14:textId="3D246D3C" w:rsidR="008C603C" w:rsidRPr="00574E37" w:rsidRDefault="008C603C" w:rsidP="0018002A">
            <w:pPr>
              <w:spacing w:after="120"/>
              <w:rPr>
                <w:lang w:val="en-AU" w:eastAsia="en-AU"/>
              </w:rPr>
            </w:pPr>
            <w:r>
              <w:rPr>
                <w:rFonts w:eastAsia="Times New Roman" w:cs="Arial"/>
                <w:color w:val="000000"/>
                <w:sz w:val="20"/>
                <w:szCs w:val="20"/>
                <w:lang w:val="en-AU" w:eastAsia="en-AU"/>
              </w:rPr>
              <w:lastRenderedPageBreak/>
              <w:t xml:space="preserve">Recommendation 12 does not indicate how </w:t>
            </w:r>
            <w:r w:rsidR="00BB6EA3">
              <w:rPr>
                <w:rFonts w:eastAsia="Times New Roman" w:cs="Arial"/>
                <w:color w:val="000000"/>
                <w:sz w:val="20"/>
                <w:szCs w:val="20"/>
                <w:lang w:val="en-AU" w:eastAsia="en-AU"/>
              </w:rPr>
              <w:t xml:space="preserve">added </w:t>
            </w:r>
            <w:r>
              <w:rPr>
                <w:rFonts w:eastAsia="Times New Roman" w:cs="Arial"/>
                <w:color w:val="000000"/>
                <w:sz w:val="20"/>
                <w:szCs w:val="20"/>
                <w:lang w:val="en-AU" w:eastAsia="en-AU"/>
              </w:rPr>
              <w:t>sugars, fat or vegetable oil ingredients that make up a compound ingredient would be labelled. A det</w:t>
            </w:r>
            <w:r w:rsidR="00FB7F86">
              <w:rPr>
                <w:rFonts w:eastAsia="Times New Roman" w:cs="Arial"/>
                <w:color w:val="000000"/>
                <w:sz w:val="20"/>
                <w:szCs w:val="20"/>
                <w:lang w:val="en-AU" w:eastAsia="en-AU"/>
              </w:rPr>
              <w:t>ermination on how to apply the r</w:t>
            </w:r>
            <w:r>
              <w:rPr>
                <w:rFonts w:eastAsia="Times New Roman" w:cs="Arial"/>
                <w:color w:val="000000"/>
                <w:sz w:val="20"/>
                <w:szCs w:val="20"/>
                <w:lang w:val="en-AU" w:eastAsia="en-AU"/>
              </w:rPr>
              <w:t xml:space="preserve">ecommendation to </w:t>
            </w:r>
            <w:r w:rsidRPr="00B91159">
              <w:rPr>
                <w:rFonts w:eastAsia="Times New Roman" w:cs="Arial"/>
                <w:color w:val="000000"/>
                <w:sz w:val="20"/>
                <w:szCs w:val="20"/>
                <w:lang w:val="en-AU" w:eastAsia="en-AU"/>
              </w:rPr>
              <w:t xml:space="preserve">compound ingredients would be required as discussed in section </w:t>
            </w:r>
            <w:r w:rsidR="0018002A" w:rsidRPr="00B91159">
              <w:rPr>
                <w:rFonts w:eastAsia="Times New Roman" w:cs="Arial"/>
                <w:color w:val="000000"/>
                <w:sz w:val="20"/>
                <w:szCs w:val="20"/>
                <w:lang w:val="en-AU" w:eastAsia="en-AU"/>
              </w:rPr>
              <w:t>2.2</w:t>
            </w:r>
            <w:r w:rsidRPr="00B91159">
              <w:rPr>
                <w:rFonts w:eastAsia="Times New Roman" w:cs="Arial"/>
                <w:color w:val="000000"/>
                <w:sz w:val="20"/>
                <w:szCs w:val="20"/>
                <w:lang w:val="en-AU" w:eastAsia="en-AU"/>
              </w:rPr>
              <w:t xml:space="preserve"> above</w:t>
            </w:r>
            <w:r>
              <w:rPr>
                <w:rFonts w:eastAsia="Times New Roman" w:cs="Arial"/>
                <w:color w:val="000000"/>
                <w:sz w:val="20"/>
                <w:szCs w:val="20"/>
                <w:lang w:val="en-AU" w:eastAsia="en-AU"/>
              </w:rPr>
              <w:t xml:space="preserve">. </w:t>
            </w:r>
          </w:p>
        </w:tc>
      </w:tr>
      <w:tr w:rsidR="008C603C" w14:paraId="18E28AD0" w14:textId="77777777" w:rsidTr="006F35D7">
        <w:tc>
          <w:tcPr>
            <w:tcW w:w="581" w:type="pct"/>
            <w:vMerge/>
          </w:tcPr>
          <w:p w14:paraId="59623BA1" w14:textId="60BE5FA9" w:rsidR="008C603C" w:rsidRPr="00EF5C53" w:rsidRDefault="008C603C" w:rsidP="00FB4E2A">
            <w:pPr>
              <w:rPr>
                <w:sz w:val="20"/>
                <w:szCs w:val="20"/>
              </w:rPr>
            </w:pPr>
          </w:p>
        </w:tc>
        <w:tc>
          <w:tcPr>
            <w:tcW w:w="2210" w:type="pct"/>
          </w:tcPr>
          <w:p w14:paraId="16B4BE3E" w14:textId="77777777" w:rsidR="008C603C" w:rsidRDefault="008C603C" w:rsidP="00CB2882">
            <w:pPr>
              <w:spacing w:before="20" w:after="20"/>
              <w:rPr>
                <w:rFonts w:cs="Arial"/>
                <w:b/>
                <w:sz w:val="20"/>
                <w:szCs w:val="20"/>
              </w:rPr>
            </w:pPr>
            <w:r>
              <w:rPr>
                <w:rFonts w:cs="Arial"/>
                <w:b/>
                <w:sz w:val="20"/>
                <w:szCs w:val="20"/>
              </w:rPr>
              <w:t xml:space="preserve">Declaration of alternative ingredients </w:t>
            </w:r>
          </w:p>
          <w:p w14:paraId="103F97A9" w14:textId="2EF315D5" w:rsidR="008C603C" w:rsidRPr="00A21559" w:rsidRDefault="008C603C" w:rsidP="00CB2882">
            <w:pPr>
              <w:spacing w:before="20" w:after="20"/>
              <w:rPr>
                <w:rFonts w:cs="Arial"/>
                <w:sz w:val="20"/>
                <w:szCs w:val="20"/>
              </w:rPr>
            </w:pPr>
            <w:r>
              <w:rPr>
                <w:rFonts w:cs="Arial"/>
                <w:sz w:val="20"/>
                <w:szCs w:val="20"/>
              </w:rPr>
              <w:t>(</w:t>
            </w:r>
            <w:r w:rsidRPr="009C184D">
              <w:rPr>
                <w:sz w:val="20"/>
                <w:szCs w:val="20"/>
              </w:rPr>
              <w:t>section 1.</w:t>
            </w:r>
            <w:r>
              <w:rPr>
                <w:sz w:val="20"/>
                <w:szCs w:val="20"/>
              </w:rPr>
              <w:t>2</w:t>
            </w:r>
            <w:r w:rsidRPr="009C184D">
              <w:rPr>
                <w:sz w:val="20"/>
                <w:szCs w:val="20"/>
              </w:rPr>
              <w:t>.4</w:t>
            </w:r>
            <w:r w:rsidRPr="009C184D">
              <w:rPr>
                <w:rFonts w:cs="Arial"/>
                <w:sz w:val="20"/>
                <w:szCs w:val="20"/>
              </w:rPr>
              <w:t>―</w:t>
            </w:r>
            <w:r>
              <w:rPr>
                <w:rFonts w:cs="Arial"/>
                <w:sz w:val="20"/>
                <w:szCs w:val="20"/>
              </w:rPr>
              <w:t>6)</w:t>
            </w:r>
          </w:p>
          <w:p w14:paraId="72A9E3AA" w14:textId="77777777" w:rsidR="008C603C" w:rsidRDefault="008C603C" w:rsidP="00CB2882">
            <w:pPr>
              <w:spacing w:before="20" w:after="20"/>
              <w:rPr>
                <w:rFonts w:cs="Arial"/>
                <w:sz w:val="20"/>
                <w:szCs w:val="20"/>
              </w:rPr>
            </w:pPr>
          </w:p>
          <w:p w14:paraId="7A8FF694" w14:textId="0C8E4E10" w:rsidR="008C603C" w:rsidRDefault="008C603C" w:rsidP="00CB2882">
            <w:pPr>
              <w:spacing w:before="20" w:after="20"/>
              <w:rPr>
                <w:rFonts w:cs="Arial"/>
                <w:sz w:val="20"/>
                <w:szCs w:val="20"/>
              </w:rPr>
            </w:pPr>
            <w:r>
              <w:rPr>
                <w:rFonts w:cs="Arial"/>
                <w:sz w:val="20"/>
                <w:szCs w:val="20"/>
              </w:rPr>
              <w:t xml:space="preserve">If the composition of a food for sale is </w:t>
            </w:r>
            <w:r w:rsidRPr="008635A0">
              <w:rPr>
                <w:rFonts w:cs="Arial"/>
                <w:sz w:val="20"/>
                <w:szCs w:val="20"/>
              </w:rPr>
              <w:t>subject to minor variations by the substitution of an ingredient which performs a similar function, the statement of ingredients may list both ingredients in a way which makes it clear that alternative or substitute ingredients are being declared.</w:t>
            </w:r>
          </w:p>
          <w:p w14:paraId="289668A8" w14:textId="53E8422D" w:rsidR="008C603C" w:rsidRDefault="008C603C" w:rsidP="008635A0">
            <w:pPr>
              <w:spacing w:before="20" w:after="20"/>
              <w:rPr>
                <w:rFonts w:eastAsia="Times New Roman" w:cs="Arial"/>
                <w:b/>
                <w:color w:val="000000"/>
                <w:sz w:val="20"/>
                <w:szCs w:val="20"/>
                <w:lang w:val="en-AU" w:eastAsia="en-AU"/>
              </w:rPr>
            </w:pPr>
          </w:p>
        </w:tc>
        <w:tc>
          <w:tcPr>
            <w:tcW w:w="2209" w:type="pct"/>
            <w:shd w:val="clear" w:color="auto" w:fill="auto"/>
          </w:tcPr>
          <w:p w14:paraId="45DC38C7" w14:textId="5160BE45" w:rsidR="008C603C" w:rsidRDefault="008C603C" w:rsidP="00657542">
            <w:pPr>
              <w:spacing w:before="20" w:after="20"/>
              <w:rPr>
                <w:rFonts w:cs="Arial"/>
                <w:sz w:val="20"/>
                <w:szCs w:val="20"/>
              </w:rPr>
            </w:pPr>
            <w:r>
              <w:rPr>
                <w:rFonts w:cs="Arial"/>
                <w:sz w:val="20"/>
                <w:szCs w:val="20"/>
              </w:rPr>
              <w:t>The listing of alternative ingredients is not current</w:t>
            </w:r>
            <w:r w:rsidR="00657542">
              <w:rPr>
                <w:rFonts w:cs="Arial"/>
                <w:sz w:val="20"/>
                <w:szCs w:val="20"/>
              </w:rPr>
              <w:t xml:space="preserve">ly necessary for animal fats or </w:t>
            </w:r>
            <w:r>
              <w:rPr>
                <w:rFonts w:cs="Arial"/>
                <w:sz w:val="20"/>
                <w:szCs w:val="20"/>
              </w:rPr>
              <w:t xml:space="preserve">vegetable oils due to the existing permission to use the generic names (‘animal fats’ and </w:t>
            </w:r>
            <w:r w:rsidRPr="00B167AB">
              <w:rPr>
                <w:rFonts w:cs="Arial"/>
                <w:sz w:val="20"/>
                <w:szCs w:val="20"/>
              </w:rPr>
              <w:t>‘vegetable oil</w:t>
            </w:r>
            <w:r>
              <w:rPr>
                <w:rFonts w:cs="Arial"/>
                <w:sz w:val="20"/>
                <w:szCs w:val="20"/>
              </w:rPr>
              <w:t>s’), e.g. alternative vegetable oils used would not need to be specified as they can be generically named as ‘vegetable oil’. However, Recommendation 12 indicates that</w:t>
            </w:r>
            <w:r w:rsidRPr="00B167AB">
              <w:rPr>
                <w:rFonts w:cs="Arial"/>
                <w:sz w:val="20"/>
                <w:szCs w:val="20"/>
              </w:rPr>
              <w:t xml:space="preserve"> the specific source of </w:t>
            </w:r>
            <w:r>
              <w:rPr>
                <w:rFonts w:cs="Arial"/>
                <w:sz w:val="20"/>
                <w:szCs w:val="20"/>
              </w:rPr>
              <w:t>a</w:t>
            </w:r>
            <w:r w:rsidR="00BB6EA3">
              <w:rPr>
                <w:rFonts w:cs="Arial"/>
                <w:sz w:val="20"/>
                <w:szCs w:val="20"/>
              </w:rPr>
              <w:t>dded fats (e.g. milk fat) and</w:t>
            </w:r>
            <w:r>
              <w:rPr>
                <w:rFonts w:cs="Arial"/>
                <w:sz w:val="20"/>
                <w:szCs w:val="20"/>
              </w:rPr>
              <w:t xml:space="preserve"> added vegetable oils (e.g. sunflower oil) would</w:t>
            </w:r>
            <w:r w:rsidRPr="00B167AB">
              <w:rPr>
                <w:rFonts w:cs="Arial"/>
                <w:sz w:val="20"/>
                <w:szCs w:val="20"/>
              </w:rPr>
              <w:t xml:space="preserve"> </w:t>
            </w:r>
            <w:r>
              <w:rPr>
                <w:rFonts w:cs="Arial"/>
                <w:sz w:val="20"/>
                <w:szCs w:val="20"/>
              </w:rPr>
              <w:t>be required</w:t>
            </w:r>
            <w:r w:rsidRPr="00B167AB">
              <w:rPr>
                <w:rFonts w:cs="Arial"/>
                <w:sz w:val="20"/>
                <w:szCs w:val="20"/>
              </w:rPr>
              <w:t xml:space="preserve"> to be declared instead of using t</w:t>
            </w:r>
            <w:r>
              <w:rPr>
                <w:rFonts w:cs="Arial"/>
                <w:sz w:val="20"/>
                <w:szCs w:val="20"/>
              </w:rPr>
              <w:t>he existing generic names</w:t>
            </w:r>
            <w:r w:rsidRPr="00B167AB">
              <w:rPr>
                <w:rFonts w:cs="Arial"/>
                <w:sz w:val="20"/>
                <w:szCs w:val="20"/>
              </w:rPr>
              <w:t>.</w:t>
            </w:r>
            <w:r>
              <w:rPr>
                <w:rFonts w:cs="Arial"/>
                <w:sz w:val="20"/>
                <w:szCs w:val="20"/>
              </w:rPr>
              <w:t xml:space="preserve"> In this case, the</w:t>
            </w:r>
            <w:r w:rsidRPr="00B167AB">
              <w:rPr>
                <w:rFonts w:cs="Arial"/>
                <w:sz w:val="20"/>
                <w:szCs w:val="20"/>
              </w:rPr>
              <w:t xml:space="preserve"> </w:t>
            </w:r>
            <w:r>
              <w:rPr>
                <w:rFonts w:cs="Arial"/>
                <w:sz w:val="20"/>
                <w:szCs w:val="20"/>
              </w:rPr>
              <w:t xml:space="preserve">alternative ingredients </w:t>
            </w:r>
            <w:r w:rsidRPr="00B167AB">
              <w:rPr>
                <w:rFonts w:cs="Arial"/>
                <w:sz w:val="20"/>
                <w:szCs w:val="20"/>
              </w:rPr>
              <w:t xml:space="preserve">provision </w:t>
            </w:r>
            <w:r>
              <w:rPr>
                <w:rFonts w:cs="Arial"/>
                <w:sz w:val="20"/>
                <w:szCs w:val="20"/>
              </w:rPr>
              <w:t xml:space="preserve">could be applied </w:t>
            </w:r>
            <w:r w:rsidRPr="00B167AB">
              <w:rPr>
                <w:rFonts w:cs="Arial"/>
                <w:sz w:val="20"/>
                <w:szCs w:val="20"/>
              </w:rPr>
              <w:t>to allow flexibility for manufacture</w:t>
            </w:r>
            <w:r>
              <w:rPr>
                <w:rFonts w:cs="Arial"/>
                <w:sz w:val="20"/>
                <w:szCs w:val="20"/>
              </w:rPr>
              <w:t>r</w:t>
            </w:r>
            <w:r w:rsidRPr="00B167AB">
              <w:rPr>
                <w:rFonts w:cs="Arial"/>
                <w:sz w:val="20"/>
                <w:szCs w:val="20"/>
              </w:rPr>
              <w:t>s in relation to minor variations.</w:t>
            </w:r>
            <w:r>
              <w:rPr>
                <w:rFonts w:cs="Arial"/>
                <w:sz w:val="20"/>
                <w:szCs w:val="20"/>
              </w:rPr>
              <w:t xml:space="preserve"> </w:t>
            </w:r>
            <w:r w:rsidR="00B91159">
              <w:rPr>
                <w:rFonts w:cs="Arial"/>
                <w:sz w:val="20"/>
                <w:szCs w:val="20"/>
              </w:rPr>
              <w:t xml:space="preserve">               </w:t>
            </w:r>
            <w:r>
              <w:rPr>
                <w:rFonts w:cs="Arial"/>
                <w:sz w:val="20"/>
                <w:szCs w:val="20"/>
              </w:rPr>
              <w:t>This</w:t>
            </w:r>
            <w:r w:rsidRPr="00B167AB">
              <w:rPr>
                <w:rFonts w:cs="Arial"/>
                <w:sz w:val="20"/>
                <w:szCs w:val="20"/>
              </w:rPr>
              <w:t xml:space="preserve"> </w:t>
            </w:r>
            <w:r>
              <w:rPr>
                <w:rFonts w:cs="Arial"/>
                <w:sz w:val="20"/>
                <w:szCs w:val="20"/>
              </w:rPr>
              <w:t>would</w:t>
            </w:r>
            <w:r w:rsidRPr="00B167AB">
              <w:rPr>
                <w:rFonts w:cs="Arial"/>
                <w:sz w:val="20"/>
                <w:szCs w:val="20"/>
              </w:rPr>
              <w:t xml:space="preserve"> mean that </w:t>
            </w:r>
            <w:r>
              <w:rPr>
                <w:rFonts w:cs="Arial"/>
                <w:sz w:val="20"/>
                <w:szCs w:val="20"/>
              </w:rPr>
              <w:t xml:space="preserve">alternative ingredients could be listed in </w:t>
            </w:r>
            <w:r w:rsidRPr="00B167AB">
              <w:rPr>
                <w:rFonts w:cs="Arial"/>
                <w:sz w:val="20"/>
                <w:szCs w:val="20"/>
              </w:rPr>
              <w:t xml:space="preserve">the </w:t>
            </w:r>
            <w:r>
              <w:rPr>
                <w:rFonts w:cs="Arial"/>
                <w:sz w:val="20"/>
                <w:szCs w:val="20"/>
              </w:rPr>
              <w:t>‘added’ bracketed lists, e.g. ‘added vegetable oils (</w:t>
            </w:r>
            <w:r w:rsidRPr="00B167AB">
              <w:rPr>
                <w:rFonts w:cs="Arial"/>
                <w:sz w:val="20"/>
                <w:szCs w:val="20"/>
              </w:rPr>
              <w:t xml:space="preserve">sunflower oil or </w:t>
            </w:r>
            <w:r w:rsidRPr="00B167AB">
              <w:rPr>
                <w:rFonts w:cs="Arial"/>
                <w:sz w:val="20"/>
                <w:szCs w:val="20"/>
              </w:rPr>
              <w:lastRenderedPageBreak/>
              <w:t>canola oil</w:t>
            </w:r>
            <w:r>
              <w:rPr>
                <w:rFonts w:cs="Arial"/>
                <w:sz w:val="20"/>
                <w:szCs w:val="20"/>
              </w:rPr>
              <w:t>)</w:t>
            </w:r>
            <w:r w:rsidRPr="00B167AB">
              <w:rPr>
                <w:rFonts w:cs="Arial"/>
                <w:sz w:val="20"/>
                <w:szCs w:val="20"/>
              </w:rPr>
              <w:t>’</w:t>
            </w:r>
            <w:r>
              <w:rPr>
                <w:rFonts w:cs="Arial"/>
                <w:sz w:val="20"/>
                <w:szCs w:val="20"/>
              </w:rPr>
              <w:t xml:space="preserve">. The implications of this approach, such as the potential to </w:t>
            </w:r>
            <w:r w:rsidR="00657542">
              <w:rPr>
                <w:rFonts w:cs="Arial"/>
                <w:sz w:val="20"/>
                <w:szCs w:val="20"/>
              </w:rPr>
              <w:t xml:space="preserve">further </w:t>
            </w:r>
            <w:r>
              <w:rPr>
                <w:rFonts w:cs="Arial"/>
                <w:sz w:val="20"/>
                <w:szCs w:val="20"/>
              </w:rPr>
              <w:t>increase the length of the statement of ingredients, would need to be considered.</w:t>
            </w:r>
          </w:p>
          <w:p w14:paraId="2D39AE5A" w14:textId="2C7AF2AD" w:rsidR="00657542" w:rsidRPr="00657542" w:rsidRDefault="00657542" w:rsidP="00657542">
            <w:pPr>
              <w:spacing w:before="20" w:after="20"/>
              <w:rPr>
                <w:rFonts w:cs="Arial"/>
                <w:sz w:val="20"/>
                <w:szCs w:val="20"/>
              </w:rPr>
            </w:pPr>
          </w:p>
        </w:tc>
      </w:tr>
      <w:tr w:rsidR="008C603C" w14:paraId="2DDDFD6B" w14:textId="77777777" w:rsidTr="006F35D7">
        <w:tc>
          <w:tcPr>
            <w:tcW w:w="581" w:type="pct"/>
            <w:vMerge/>
          </w:tcPr>
          <w:p w14:paraId="4170DDA5" w14:textId="2D525E2E" w:rsidR="008C603C" w:rsidRPr="00EF5C53" w:rsidRDefault="008C603C" w:rsidP="00FB4E2A">
            <w:pPr>
              <w:rPr>
                <w:sz w:val="20"/>
                <w:szCs w:val="20"/>
              </w:rPr>
            </w:pPr>
          </w:p>
        </w:tc>
        <w:tc>
          <w:tcPr>
            <w:tcW w:w="2210" w:type="pct"/>
          </w:tcPr>
          <w:p w14:paraId="16BF3B78" w14:textId="77777777" w:rsidR="008C603C" w:rsidRDefault="008C603C" w:rsidP="008635A0">
            <w:pPr>
              <w:spacing w:before="20" w:after="20"/>
              <w:rPr>
                <w:rFonts w:eastAsia="Times New Roman" w:cs="Arial"/>
                <w:color w:val="000000"/>
                <w:sz w:val="20"/>
                <w:szCs w:val="20"/>
                <w:lang w:val="en-AU" w:eastAsia="en-AU"/>
              </w:rPr>
            </w:pPr>
            <w:r w:rsidRPr="00B51F7D">
              <w:rPr>
                <w:rFonts w:eastAsia="Times New Roman" w:cs="Arial"/>
                <w:b/>
                <w:color w:val="000000"/>
                <w:sz w:val="20"/>
                <w:szCs w:val="20"/>
                <w:lang w:val="en-AU" w:eastAsia="en-AU"/>
              </w:rPr>
              <w:t>Declaration of substances used as food additives</w:t>
            </w:r>
            <w:r>
              <w:rPr>
                <w:rFonts w:eastAsia="Times New Roman" w:cs="Arial"/>
                <w:color w:val="000000"/>
                <w:sz w:val="20"/>
                <w:szCs w:val="20"/>
                <w:lang w:val="en-AU" w:eastAsia="en-AU"/>
              </w:rPr>
              <w:t xml:space="preserve"> </w:t>
            </w:r>
          </w:p>
          <w:p w14:paraId="77E5F9FC" w14:textId="4159378C" w:rsidR="008C603C" w:rsidRDefault="008C603C" w:rsidP="008635A0">
            <w:pPr>
              <w:spacing w:before="20" w:after="20"/>
              <w:rPr>
                <w:rFonts w:cs="Arial"/>
                <w:sz w:val="20"/>
                <w:szCs w:val="20"/>
              </w:rPr>
            </w:pPr>
            <w:r>
              <w:rPr>
                <w:rFonts w:eastAsia="Times New Roman" w:cs="Arial"/>
                <w:color w:val="000000"/>
                <w:sz w:val="20"/>
                <w:szCs w:val="20"/>
                <w:lang w:val="en-AU" w:eastAsia="en-AU"/>
              </w:rPr>
              <w:t xml:space="preserve">(section </w:t>
            </w:r>
            <w:r w:rsidRPr="009C184D">
              <w:rPr>
                <w:sz w:val="20"/>
                <w:szCs w:val="20"/>
              </w:rPr>
              <w:t>1.</w:t>
            </w:r>
            <w:r>
              <w:rPr>
                <w:sz w:val="20"/>
                <w:szCs w:val="20"/>
              </w:rPr>
              <w:t>2</w:t>
            </w:r>
            <w:r w:rsidRPr="009C184D">
              <w:rPr>
                <w:sz w:val="20"/>
                <w:szCs w:val="20"/>
              </w:rPr>
              <w:t>.4</w:t>
            </w:r>
            <w:r w:rsidRPr="009C184D">
              <w:rPr>
                <w:rFonts w:cs="Arial"/>
                <w:sz w:val="20"/>
                <w:szCs w:val="20"/>
              </w:rPr>
              <w:t>―</w:t>
            </w:r>
            <w:r>
              <w:rPr>
                <w:rFonts w:cs="Arial"/>
                <w:sz w:val="20"/>
                <w:szCs w:val="20"/>
              </w:rPr>
              <w:t>7)</w:t>
            </w:r>
          </w:p>
          <w:p w14:paraId="3A2E2146" w14:textId="77777777" w:rsidR="008C603C" w:rsidRDefault="008C603C" w:rsidP="008635A0">
            <w:pPr>
              <w:spacing w:before="20" w:after="20"/>
              <w:rPr>
                <w:rFonts w:cs="Arial"/>
                <w:sz w:val="20"/>
                <w:szCs w:val="20"/>
              </w:rPr>
            </w:pPr>
          </w:p>
          <w:p w14:paraId="1E1B9128" w14:textId="7FF8EF47" w:rsidR="008C603C" w:rsidRDefault="00B40BDF" w:rsidP="001A782D">
            <w:pPr>
              <w:pStyle w:val="ListParagraph"/>
              <w:numPr>
                <w:ilvl w:val="0"/>
                <w:numId w:val="16"/>
              </w:numPr>
              <w:spacing w:after="120"/>
              <w:ind w:left="419" w:hanging="425"/>
              <w:contextualSpacing w:val="0"/>
              <w:rPr>
                <w:rFonts w:cs="Arial"/>
                <w:sz w:val="20"/>
                <w:szCs w:val="20"/>
              </w:rPr>
            </w:pPr>
            <w:r>
              <w:rPr>
                <w:rFonts w:eastAsia="Times New Roman" w:cs="Arial"/>
                <w:color w:val="000000"/>
                <w:sz w:val="20"/>
                <w:szCs w:val="20"/>
                <w:lang w:val="en-AU" w:eastAsia="en-AU"/>
              </w:rPr>
              <w:t>A substance</w:t>
            </w:r>
            <w:r w:rsidR="001B34D0">
              <w:rPr>
                <w:rFonts w:eastAsia="Times New Roman" w:cs="Arial"/>
                <w:color w:val="000000"/>
                <w:sz w:val="20"/>
                <w:szCs w:val="20"/>
                <w:lang w:val="en-AU" w:eastAsia="en-AU"/>
              </w:rPr>
              <w:t xml:space="preserve"> (including a vitamin or mineral)</w:t>
            </w:r>
            <w:r>
              <w:rPr>
                <w:rFonts w:eastAsia="Times New Roman" w:cs="Arial"/>
                <w:color w:val="000000"/>
                <w:sz w:val="20"/>
                <w:szCs w:val="20"/>
                <w:lang w:val="en-AU" w:eastAsia="en-AU"/>
              </w:rPr>
              <w:t xml:space="preserve"> </w:t>
            </w:r>
            <w:r w:rsidRPr="00B40BDF">
              <w:rPr>
                <w:rFonts w:cs="Arial"/>
                <w:sz w:val="20"/>
                <w:szCs w:val="20"/>
              </w:rPr>
              <w:t>*</w:t>
            </w:r>
            <w:r w:rsidR="008C603C" w:rsidRPr="00B40BDF">
              <w:rPr>
                <w:rFonts w:eastAsia="Times New Roman" w:cs="Arial"/>
                <w:color w:val="000000"/>
                <w:sz w:val="20"/>
                <w:szCs w:val="20"/>
                <w:lang w:val="en-AU" w:eastAsia="en-AU"/>
              </w:rPr>
              <w:t>used as a food additive</w:t>
            </w:r>
            <w:r w:rsidR="00785ED4">
              <w:rPr>
                <w:rFonts w:cs="Arial"/>
                <w:sz w:val="20"/>
                <w:szCs w:val="20"/>
              </w:rPr>
              <w:t xml:space="preserve"> </w:t>
            </w:r>
            <w:r w:rsidR="008C603C" w:rsidRPr="00676EEC">
              <w:rPr>
                <w:rFonts w:cs="Arial"/>
                <w:sz w:val="20"/>
                <w:szCs w:val="20"/>
              </w:rPr>
              <w:t>must be listed in a statement of ingredients by specifying:</w:t>
            </w:r>
          </w:p>
          <w:p w14:paraId="435E50E2" w14:textId="3E5D30C0" w:rsidR="008C603C" w:rsidRDefault="008C603C" w:rsidP="001A782D">
            <w:pPr>
              <w:pStyle w:val="ListParagraph"/>
              <w:numPr>
                <w:ilvl w:val="0"/>
                <w:numId w:val="15"/>
              </w:numPr>
              <w:spacing w:after="120"/>
              <w:ind w:left="714" w:hanging="357"/>
              <w:contextualSpacing w:val="0"/>
              <w:rPr>
                <w:rFonts w:cs="Arial"/>
                <w:sz w:val="20"/>
                <w:szCs w:val="20"/>
              </w:rPr>
            </w:pPr>
            <w:r>
              <w:rPr>
                <w:rFonts w:cs="Arial"/>
                <w:sz w:val="20"/>
                <w:szCs w:val="20"/>
              </w:rPr>
              <w:t>if the substance can be classified into a class of additives listed in Schedule 7</w:t>
            </w:r>
            <w:r w:rsidR="001B34D0">
              <w:rPr>
                <w:rFonts w:cs="Arial"/>
                <w:sz w:val="20"/>
                <w:szCs w:val="20"/>
              </w:rPr>
              <w:t xml:space="preserve"> (whether prescribed or optional)</w:t>
            </w:r>
            <w:r w:rsidRPr="009C184D">
              <w:rPr>
                <w:rFonts w:cs="Arial"/>
                <w:sz w:val="20"/>
                <w:szCs w:val="20"/>
              </w:rPr>
              <w:t>―</w:t>
            </w:r>
            <w:r>
              <w:rPr>
                <w:rFonts w:cs="Arial"/>
                <w:sz w:val="20"/>
                <w:szCs w:val="20"/>
              </w:rPr>
              <w:t xml:space="preserve">that class name, followed in </w:t>
            </w:r>
            <w:r w:rsidRPr="00676EEC">
              <w:rPr>
                <w:rFonts w:cs="Arial"/>
                <w:sz w:val="20"/>
                <w:szCs w:val="20"/>
              </w:rPr>
              <w:t xml:space="preserve">brackets by the name or </w:t>
            </w:r>
            <w:r w:rsidR="001B34D0">
              <w:rPr>
                <w:rFonts w:cs="Arial"/>
                <w:sz w:val="20"/>
                <w:szCs w:val="20"/>
              </w:rPr>
              <w:t>*</w:t>
            </w:r>
            <w:r w:rsidRPr="00676EEC">
              <w:rPr>
                <w:rFonts w:cs="Arial"/>
                <w:sz w:val="20"/>
                <w:szCs w:val="20"/>
              </w:rPr>
              <w:t>code number of the substance</w:t>
            </w:r>
            <w:r>
              <w:rPr>
                <w:rFonts w:cs="Arial"/>
                <w:sz w:val="20"/>
                <w:szCs w:val="20"/>
              </w:rPr>
              <w:t xml:space="preserve"> as indicated in Schedule 8</w:t>
            </w:r>
            <w:r w:rsidRPr="00676EEC">
              <w:rPr>
                <w:rFonts w:cs="Arial"/>
                <w:sz w:val="20"/>
                <w:szCs w:val="20"/>
              </w:rPr>
              <w:t xml:space="preserve">; or </w:t>
            </w:r>
          </w:p>
          <w:p w14:paraId="0C4C59D9" w14:textId="145167F4" w:rsidR="008C603C" w:rsidRDefault="008C603C" w:rsidP="001A782D">
            <w:pPr>
              <w:pStyle w:val="ListParagraph"/>
              <w:numPr>
                <w:ilvl w:val="0"/>
                <w:numId w:val="15"/>
              </w:numPr>
              <w:spacing w:before="120" w:after="20"/>
              <w:ind w:left="714" w:hanging="357"/>
              <w:rPr>
                <w:rFonts w:cs="Arial"/>
                <w:sz w:val="20"/>
                <w:szCs w:val="20"/>
              </w:rPr>
            </w:pPr>
            <w:r>
              <w:rPr>
                <w:rFonts w:cs="Arial"/>
                <w:sz w:val="20"/>
                <w:szCs w:val="20"/>
              </w:rPr>
              <w:t>otherwise</w:t>
            </w:r>
            <w:r w:rsidRPr="009C184D">
              <w:rPr>
                <w:rFonts w:cs="Arial"/>
                <w:sz w:val="20"/>
                <w:szCs w:val="20"/>
              </w:rPr>
              <w:t>―</w:t>
            </w:r>
            <w:r w:rsidRPr="00676EEC">
              <w:rPr>
                <w:rFonts w:cs="Arial"/>
                <w:sz w:val="20"/>
                <w:szCs w:val="20"/>
              </w:rPr>
              <w:t>the name of the substance</w:t>
            </w:r>
            <w:r>
              <w:rPr>
                <w:rFonts w:cs="Arial"/>
                <w:sz w:val="20"/>
                <w:szCs w:val="20"/>
              </w:rPr>
              <w:t xml:space="preserve"> as indicated in Schedule 8</w:t>
            </w:r>
            <w:r w:rsidRPr="00676EEC">
              <w:rPr>
                <w:rFonts w:cs="Arial"/>
                <w:sz w:val="20"/>
                <w:szCs w:val="20"/>
              </w:rPr>
              <w:t>.</w:t>
            </w:r>
          </w:p>
          <w:p w14:paraId="3F6571D8" w14:textId="77777777" w:rsidR="000822FB" w:rsidRPr="00676EEC" w:rsidRDefault="000822FB" w:rsidP="000822FB">
            <w:pPr>
              <w:pStyle w:val="ListParagraph"/>
              <w:spacing w:before="120" w:after="20"/>
              <w:ind w:left="714"/>
              <w:rPr>
                <w:rFonts w:cs="Arial"/>
                <w:sz w:val="20"/>
                <w:szCs w:val="20"/>
              </w:rPr>
            </w:pPr>
          </w:p>
          <w:p w14:paraId="4054591E" w14:textId="5FB92FB7" w:rsidR="00FB7F86" w:rsidRDefault="000822FB" w:rsidP="000822FB">
            <w:pPr>
              <w:spacing w:before="20" w:after="20"/>
              <w:rPr>
                <w:rFonts w:eastAsia="Times New Roman" w:cs="Arial"/>
                <w:color w:val="000000"/>
                <w:sz w:val="20"/>
                <w:szCs w:val="20"/>
                <w:lang w:val="en-AU" w:eastAsia="en-AU"/>
              </w:rPr>
            </w:pPr>
            <w:r>
              <w:rPr>
                <w:rFonts w:eastAsia="Times New Roman" w:cs="Arial"/>
                <w:color w:val="000000"/>
                <w:sz w:val="20"/>
                <w:szCs w:val="20"/>
                <w:lang w:val="en-AU" w:eastAsia="en-AU"/>
              </w:rPr>
              <w:t xml:space="preserve">The terms *used as a food additive </w:t>
            </w:r>
            <w:r w:rsidR="001B34D0">
              <w:rPr>
                <w:rFonts w:eastAsia="Times New Roman" w:cs="Arial"/>
                <w:color w:val="000000"/>
                <w:sz w:val="20"/>
                <w:szCs w:val="20"/>
                <w:lang w:val="en-AU" w:eastAsia="en-AU"/>
              </w:rPr>
              <w:t xml:space="preserve">and </w:t>
            </w:r>
            <w:r>
              <w:rPr>
                <w:rFonts w:eastAsia="Times New Roman" w:cs="Arial"/>
                <w:color w:val="000000"/>
                <w:sz w:val="20"/>
                <w:szCs w:val="20"/>
                <w:lang w:val="en-AU" w:eastAsia="en-AU"/>
              </w:rPr>
              <w:t>*code number</w:t>
            </w:r>
            <w:r w:rsidR="001B34D0">
              <w:rPr>
                <w:rFonts w:eastAsia="Times New Roman" w:cs="Arial"/>
                <w:color w:val="000000"/>
                <w:sz w:val="20"/>
                <w:szCs w:val="20"/>
                <w:lang w:val="en-AU" w:eastAsia="en-AU"/>
              </w:rPr>
              <w:t xml:space="preserve"> </w:t>
            </w:r>
            <w:r w:rsidR="00794B6E">
              <w:rPr>
                <w:rFonts w:eastAsia="Times New Roman" w:cs="Arial"/>
                <w:color w:val="000000"/>
                <w:sz w:val="20"/>
                <w:szCs w:val="20"/>
                <w:lang w:val="en-AU" w:eastAsia="en-AU"/>
              </w:rPr>
              <w:t>are</w:t>
            </w:r>
            <w:r w:rsidR="001B34D0">
              <w:rPr>
                <w:rFonts w:eastAsia="Times New Roman" w:cs="Arial"/>
                <w:color w:val="000000"/>
                <w:sz w:val="20"/>
                <w:szCs w:val="20"/>
                <w:lang w:val="en-AU" w:eastAsia="en-AU"/>
              </w:rPr>
              <w:t xml:space="preserve"> </w:t>
            </w:r>
            <w:r w:rsidR="001B34D0" w:rsidRPr="00676EEC">
              <w:rPr>
                <w:rFonts w:eastAsia="Times New Roman" w:cs="Arial"/>
                <w:color w:val="000000"/>
                <w:sz w:val="20"/>
                <w:szCs w:val="20"/>
                <w:lang w:val="en-AU" w:eastAsia="en-AU"/>
              </w:rPr>
              <w:t xml:space="preserve">defined in </w:t>
            </w:r>
            <w:r>
              <w:rPr>
                <w:rFonts w:eastAsia="Times New Roman" w:cs="Arial"/>
                <w:color w:val="000000"/>
                <w:sz w:val="20"/>
                <w:szCs w:val="20"/>
                <w:lang w:val="en-AU" w:eastAsia="en-AU"/>
              </w:rPr>
              <w:t>Standard</w:t>
            </w:r>
            <w:r w:rsidR="001B34D0" w:rsidRPr="00676EEC">
              <w:rPr>
                <w:rFonts w:eastAsia="Times New Roman" w:cs="Arial"/>
                <w:color w:val="000000"/>
                <w:sz w:val="20"/>
                <w:szCs w:val="20"/>
                <w:lang w:val="en-AU" w:eastAsia="en-AU"/>
              </w:rPr>
              <w:t xml:space="preserve"> </w:t>
            </w:r>
            <w:r w:rsidR="001B34D0">
              <w:rPr>
                <w:sz w:val="20"/>
                <w:szCs w:val="20"/>
              </w:rPr>
              <w:t>1.1.2</w:t>
            </w:r>
            <w:r>
              <w:rPr>
                <w:sz w:val="20"/>
                <w:szCs w:val="20"/>
              </w:rPr>
              <w:t xml:space="preserve"> (Definitions used throughout the Code)</w:t>
            </w:r>
          </w:p>
          <w:p w14:paraId="2D37C0F2" w14:textId="3ACB384B" w:rsidR="00FB7F86" w:rsidRPr="008635A0" w:rsidRDefault="00FB7F86" w:rsidP="000822FB">
            <w:pPr>
              <w:spacing w:before="20" w:after="20"/>
              <w:rPr>
                <w:rFonts w:eastAsia="Times New Roman" w:cs="Arial"/>
                <w:color w:val="000000"/>
                <w:sz w:val="20"/>
                <w:szCs w:val="20"/>
                <w:lang w:val="en-AU" w:eastAsia="en-AU"/>
              </w:rPr>
            </w:pPr>
          </w:p>
        </w:tc>
        <w:tc>
          <w:tcPr>
            <w:tcW w:w="2209" w:type="pct"/>
          </w:tcPr>
          <w:p w14:paraId="4EF1D0A4" w14:textId="478008B7" w:rsidR="008C603C" w:rsidRPr="008D2F6D" w:rsidRDefault="008C603C" w:rsidP="00712E17">
            <w:pPr>
              <w:spacing w:before="20" w:after="20"/>
              <w:rPr>
                <w:rFonts w:cs="Arial"/>
                <w:sz w:val="20"/>
                <w:szCs w:val="20"/>
              </w:rPr>
            </w:pPr>
            <w:r>
              <w:rPr>
                <w:rFonts w:cs="Arial"/>
                <w:sz w:val="20"/>
                <w:szCs w:val="20"/>
              </w:rPr>
              <w:t>Whether food additives derived from sugars, fats or oils</w:t>
            </w:r>
            <w:r w:rsidR="0093651E">
              <w:rPr>
                <w:rFonts w:cs="Arial"/>
                <w:sz w:val="20"/>
                <w:szCs w:val="20"/>
              </w:rPr>
              <w:t xml:space="preserve"> that perform a technological purpose</w:t>
            </w:r>
            <w:r>
              <w:rPr>
                <w:rFonts w:cs="Arial"/>
                <w:sz w:val="20"/>
                <w:szCs w:val="20"/>
              </w:rPr>
              <w:t xml:space="preserve"> (e.g. emulsifiers derived from fat) would b</w:t>
            </w:r>
            <w:r w:rsidR="00712E17">
              <w:rPr>
                <w:rFonts w:cs="Arial"/>
                <w:sz w:val="20"/>
                <w:szCs w:val="20"/>
              </w:rPr>
              <w:t xml:space="preserve">e required to be included in the bracketed lists of </w:t>
            </w:r>
            <w:r>
              <w:rPr>
                <w:rFonts w:cs="Arial"/>
                <w:sz w:val="20"/>
                <w:szCs w:val="20"/>
              </w:rPr>
              <w:t>added sugars, fat</w:t>
            </w:r>
            <w:r w:rsidR="00712E17">
              <w:rPr>
                <w:rFonts w:cs="Arial"/>
                <w:sz w:val="20"/>
                <w:szCs w:val="20"/>
              </w:rPr>
              <w:t>s</w:t>
            </w:r>
            <w:r>
              <w:rPr>
                <w:rFonts w:cs="Arial"/>
                <w:sz w:val="20"/>
                <w:szCs w:val="20"/>
              </w:rPr>
              <w:t xml:space="preserve"> or vegetable oil</w:t>
            </w:r>
            <w:r w:rsidR="00712E17">
              <w:rPr>
                <w:rFonts w:cs="Arial"/>
                <w:sz w:val="20"/>
                <w:szCs w:val="20"/>
              </w:rPr>
              <w:t>s</w:t>
            </w:r>
            <w:r>
              <w:rPr>
                <w:rFonts w:cs="Arial"/>
                <w:sz w:val="20"/>
                <w:szCs w:val="20"/>
              </w:rPr>
              <w:t xml:space="preserve"> is not specified under Recommendation 12 and would need to be considered</w:t>
            </w:r>
            <w:r w:rsidR="00EA27B9">
              <w:rPr>
                <w:rFonts w:cs="Arial"/>
                <w:sz w:val="20"/>
                <w:szCs w:val="20"/>
              </w:rPr>
              <w:t xml:space="preserve">. </w:t>
            </w:r>
            <w:r w:rsidR="0018002A">
              <w:rPr>
                <w:rFonts w:cs="Arial"/>
                <w:sz w:val="20"/>
                <w:szCs w:val="20"/>
              </w:rPr>
              <w:t>If it was considered that these food additives should be declared in the bracketed li</w:t>
            </w:r>
            <w:r w:rsidR="00712E17">
              <w:rPr>
                <w:rFonts w:cs="Arial"/>
                <w:sz w:val="20"/>
                <w:szCs w:val="20"/>
              </w:rPr>
              <w:t>sts</w:t>
            </w:r>
            <w:r w:rsidR="0018002A">
              <w:rPr>
                <w:rFonts w:cs="Arial"/>
                <w:sz w:val="20"/>
                <w:szCs w:val="20"/>
              </w:rPr>
              <w:t>, it would need to be determined how they should be declared (e.g. whether the food additive code number is appropriate). Consideration</w:t>
            </w:r>
            <w:r w:rsidR="00EA27B9">
              <w:rPr>
                <w:rFonts w:cs="Arial"/>
                <w:sz w:val="20"/>
                <w:szCs w:val="20"/>
              </w:rPr>
              <w:t xml:space="preserve"> of</w:t>
            </w:r>
            <w:r w:rsidR="00ED25A7">
              <w:rPr>
                <w:rFonts w:cs="Arial"/>
                <w:sz w:val="20"/>
                <w:szCs w:val="20"/>
              </w:rPr>
              <w:t xml:space="preserve"> whether there should be exemptions from declaring </w:t>
            </w:r>
            <w:r w:rsidR="0018002A">
              <w:rPr>
                <w:rFonts w:cs="Arial"/>
                <w:sz w:val="20"/>
                <w:szCs w:val="20"/>
              </w:rPr>
              <w:t xml:space="preserve">such ingredients </w:t>
            </w:r>
            <w:r w:rsidR="00EA27B9">
              <w:rPr>
                <w:rFonts w:cs="Arial"/>
                <w:sz w:val="20"/>
                <w:szCs w:val="20"/>
              </w:rPr>
              <w:t xml:space="preserve">as </w:t>
            </w:r>
            <w:r w:rsidR="00ED25A7">
              <w:rPr>
                <w:rFonts w:cs="Arial"/>
                <w:sz w:val="20"/>
                <w:szCs w:val="20"/>
              </w:rPr>
              <w:t xml:space="preserve">added sugars, fats or </w:t>
            </w:r>
            <w:r w:rsidR="00EA27B9">
              <w:rPr>
                <w:rFonts w:cs="Arial"/>
                <w:sz w:val="20"/>
                <w:szCs w:val="20"/>
              </w:rPr>
              <w:t xml:space="preserve">vegetable </w:t>
            </w:r>
            <w:r w:rsidR="00ED25A7">
              <w:rPr>
                <w:rFonts w:cs="Arial"/>
                <w:sz w:val="20"/>
                <w:szCs w:val="20"/>
              </w:rPr>
              <w:t>oils if they are present in the food below a certain proportion</w:t>
            </w:r>
            <w:r w:rsidR="0018002A">
              <w:rPr>
                <w:rFonts w:cs="Arial"/>
                <w:sz w:val="20"/>
                <w:szCs w:val="20"/>
              </w:rPr>
              <w:t xml:space="preserve"> </w:t>
            </w:r>
            <w:r w:rsidR="00F73A63">
              <w:rPr>
                <w:rFonts w:cs="Arial"/>
                <w:sz w:val="20"/>
                <w:szCs w:val="20"/>
              </w:rPr>
              <w:t>would also be required</w:t>
            </w:r>
            <w:r w:rsidR="00ED25A7">
              <w:rPr>
                <w:rFonts w:cs="Arial"/>
                <w:sz w:val="20"/>
                <w:szCs w:val="20"/>
              </w:rPr>
              <w:t xml:space="preserve">. </w:t>
            </w:r>
          </w:p>
        </w:tc>
      </w:tr>
      <w:tr w:rsidR="008C603C" w14:paraId="749FBDB7" w14:textId="77777777" w:rsidTr="006F35D7">
        <w:tc>
          <w:tcPr>
            <w:tcW w:w="581" w:type="pct"/>
            <w:vMerge w:val="restart"/>
          </w:tcPr>
          <w:p w14:paraId="769FDECE" w14:textId="77777777" w:rsidR="008C603C" w:rsidRDefault="008C603C" w:rsidP="003623F4">
            <w:pPr>
              <w:rPr>
                <w:sz w:val="20"/>
                <w:szCs w:val="20"/>
              </w:rPr>
            </w:pPr>
            <w:r>
              <w:rPr>
                <w:sz w:val="20"/>
                <w:szCs w:val="20"/>
              </w:rPr>
              <w:t xml:space="preserve">Schedule 10 </w:t>
            </w:r>
            <w:r w:rsidRPr="0047737E">
              <w:t>–</w:t>
            </w:r>
            <w:r>
              <w:t xml:space="preserve"> </w:t>
            </w:r>
            <w:r>
              <w:rPr>
                <w:sz w:val="20"/>
                <w:szCs w:val="20"/>
              </w:rPr>
              <w:t>Generic names of ingredients and conditions for their use</w:t>
            </w:r>
          </w:p>
          <w:p w14:paraId="6E338E54" w14:textId="77777777" w:rsidR="006D1F66" w:rsidRDefault="006D1F66" w:rsidP="003623F4">
            <w:pPr>
              <w:rPr>
                <w:sz w:val="20"/>
                <w:szCs w:val="20"/>
              </w:rPr>
            </w:pPr>
          </w:p>
          <w:p w14:paraId="4B03073C" w14:textId="77777777" w:rsidR="006D1F66" w:rsidRDefault="006D1F66" w:rsidP="003623F4">
            <w:pPr>
              <w:rPr>
                <w:sz w:val="20"/>
                <w:szCs w:val="20"/>
              </w:rPr>
            </w:pPr>
          </w:p>
          <w:p w14:paraId="084AF2C1" w14:textId="77777777" w:rsidR="006D1F66" w:rsidRDefault="006D1F66" w:rsidP="003623F4">
            <w:pPr>
              <w:rPr>
                <w:sz w:val="20"/>
                <w:szCs w:val="20"/>
              </w:rPr>
            </w:pPr>
          </w:p>
          <w:p w14:paraId="3E4F9BB9" w14:textId="77777777" w:rsidR="006D1F66" w:rsidRDefault="006D1F66" w:rsidP="003623F4">
            <w:pPr>
              <w:rPr>
                <w:sz w:val="20"/>
                <w:szCs w:val="20"/>
              </w:rPr>
            </w:pPr>
          </w:p>
          <w:p w14:paraId="0F15D83C" w14:textId="77777777" w:rsidR="006D1F66" w:rsidRDefault="006D1F66" w:rsidP="003623F4">
            <w:pPr>
              <w:rPr>
                <w:sz w:val="20"/>
                <w:szCs w:val="20"/>
              </w:rPr>
            </w:pPr>
          </w:p>
          <w:p w14:paraId="541528F9" w14:textId="77777777" w:rsidR="006D1F66" w:rsidRDefault="006D1F66" w:rsidP="003623F4">
            <w:pPr>
              <w:rPr>
                <w:sz w:val="20"/>
                <w:szCs w:val="20"/>
              </w:rPr>
            </w:pPr>
          </w:p>
          <w:p w14:paraId="4AD1B49E" w14:textId="77777777" w:rsidR="006D1F66" w:rsidRDefault="006D1F66" w:rsidP="003623F4">
            <w:pPr>
              <w:rPr>
                <w:sz w:val="20"/>
                <w:szCs w:val="20"/>
              </w:rPr>
            </w:pPr>
          </w:p>
          <w:p w14:paraId="1FE57E05" w14:textId="77777777" w:rsidR="003C6082" w:rsidRDefault="003C6082" w:rsidP="003623F4">
            <w:pPr>
              <w:rPr>
                <w:sz w:val="20"/>
                <w:szCs w:val="20"/>
              </w:rPr>
            </w:pPr>
          </w:p>
          <w:p w14:paraId="75C1ECAD" w14:textId="77777777" w:rsidR="003C6082" w:rsidRDefault="003C6082" w:rsidP="003623F4">
            <w:pPr>
              <w:rPr>
                <w:sz w:val="20"/>
                <w:szCs w:val="20"/>
              </w:rPr>
            </w:pPr>
          </w:p>
          <w:p w14:paraId="4B8A487C" w14:textId="2BA1907A" w:rsidR="006D1F66" w:rsidRDefault="006D1F66" w:rsidP="003623F4">
            <w:pPr>
              <w:rPr>
                <w:sz w:val="20"/>
                <w:szCs w:val="20"/>
              </w:rPr>
            </w:pPr>
            <w:r w:rsidRPr="006D1F66">
              <w:rPr>
                <w:sz w:val="20"/>
                <w:szCs w:val="20"/>
              </w:rPr>
              <w:lastRenderedPageBreak/>
              <w:t>Schedule 10 – Generic names of ingredients and conditions for their use</w:t>
            </w:r>
            <w:r>
              <w:rPr>
                <w:sz w:val="20"/>
                <w:szCs w:val="20"/>
              </w:rPr>
              <w:t xml:space="preserve"> (continued)</w:t>
            </w:r>
          </w:p>
          <w:p w14:paraId="3F7D0A91" w14:textId="77777777" w:rsidR="006D1F66" w:rsidRDefault="006D1F66" w:rsidP="003623F4">
            <w:pPr>
              <w:rPr>
                <w:sz w:val="20"/>
                <w:szCs w:val="20"/>
              </w:rPr>
            </w:pPr>
          </w:p>
          <w:p w14:paraId="3B0B3804" w14:textId="77777777" w:rsidR="006D1F66" w:rsidRDefault="006D1F66" w:rsidP="003623F4">
            <w:pPr>
              <w:rPr>
                <w:sz w:val="20"/>
                <w:szCs w:val="20"/>
              </w:rPr>
            </w:pPr>
          </w:p>
          <w:p w14:paraId="3870B50A" w14:textId="77777777" w:rsidR="006D1F66" w:rsidRDefault="006D1F66" w:rsidP="003623F4">
            <w:pPr>
              <w:rPr>
                <w:sz w:val="20"/>
                <w:szCs w:val="20"/>
              </w:rPr>
            </w:pPr>
          </w:p>
          <w:p w14:paraId="56DE1454" w14:textId="77777777" w:rsidR="006D1F66" w:rsidRDefault="006D1F66" w:rsidP="003623F4">
            <w:pPr>
              <w:rPr>
                <w:sz w:val="20"/>
                <w:szCs w:val="20"/>
              </w:rPr>
            </w:pPr>
          </w:p>
          <w:p w14:paraId="20BEB03C" w14:textId="77777777" w:rsidR="006D1F66" w:rsidRDefault="006D1F66" w:rsidP="003623F4">
            <w:pPr>
              <w:rPr>
                <w:sz w:val="20"/>
                <w:szCs w:val="20"/>
              </w:rPr>
            </w:pPr>
          </w:p>
          <w:p w14:paraId="4E7BBFD8" w14:textId="77777777" w:rsidR="006D1F66" w:rsidRDefault="006D1F66" w:rsidP="003623F4">
            <w:pPr>
              <w:rPr>
                <w:sz w:val="20"/>
                <w:szCs w:val="20"/>
              </w:rPr>
            </w:pPr>
          </w:p>
          <w:p w14:paraId="7C7B9755" w14:textId="77777777" w:rsidR="006D1F66" w:rsidRDefault="006D1F66" w:rsidP="003623F4">
            <w:pPr>
              <w:rPr>
                <w:sz w:val="20"/>
                <w:szCs w:val="20"/>
              </w:rPr>
            </w:pPr>
          </w:p>
          <w:p w14:paraId="2C699E3A" w14:textId="77777777" w:rsidR="006D1F66" w:rsidRDefault="006D1F66" w:rsidP="003623F4">
            <w:pPr>
              <w:rPr>
                <w:sz w:val="20"/>
                <w:szCs w:val="20"/>
              </w:rPr>
            </w:pPr>
          </w:p>
          <w:p w14:paraId="6AE7E4C5" w14:textId="77777777" w:rsidR="006D1F66" w:rsidRDefault="006D1F66" w:rsidP="003623F4">
            <w:pPr>
              <w:rPr>
                <w:sz w:val="20"/>
                <w:szCs w:val="20"/>
              </w:rPr>
            </w:pPr>
          </w:p>
          <w:p w14:paraId="5D404144" w14:textId="77777777" w:rsidR="006D1F66" w:rsidRDefault="006D1F66" w:rsidP="003623F4">
            <w:pPr>
              <w:rPr>
                <w:sz w:val="20"/>
                <w:szCs w:val="20"/>
              </w:rPr>
            </w:pPr>
          </w:p>
          <w:p w14:paraId="0514B688" w14:textId="77777777" w:rsidR="006D1F66" w:rsidRDefault="006D1F66" w:rsidP="003623F4">
            <w:pPr>
              <w:rPr>
                <w:sz w:val="20"/>
                <w:szCs w:val="20"/>
              </w:rPr>
            </w:pPr>
          </w:p>
          <w:p w14:paraId="06AB374E" w14:textId="77777777" w:rsidR="006D1F66" w:rsidRDefault="006D1F66" w:rsidP="003623F4">
            <w:pPr>
              <w:rPr>
                <w:sz w:val="20"/>
                <w:szCs w:val="20"/>
              </w:rPr>
            </w:pPr>
          </w:p>
          <w:p w14:paraId="71757224" w14:textId="77777777" w:rsidR="006D1F66" w:rsidRDefault="006D1F66" w:rsidP="003623F4">
            <w:pPr>
              <w:rPr>
                <w:sz w:val="20"/>
                <w:szCs w:val="20"/>
              </w:rPr>
            </w:pPr>
          </w:p>
          <w:p w14:paraId="41A8C1DE" w14:textId="77777777" w:rsidR="006D1F66" w:rsidRDefault="006D1F66" w:rsidP="003623F4">
            <w:pPr>
              <w:rPr>
                <w:sz w:val="20"/>
                <w:szCs w:val="20"/>
              </w:rPr>
            </w:pPr>
          </w:p>
          <w:p w14:paraId="022245FB" w14:textId="77777777" w:rsidR="006D1F66" w:rsidRDefault="006D1F66" w:rsidP="003623F4">
            <w:pPr>
              <w:rPr>
                <w:sz w:val="20"/>
                <w:szCs w:val="20"/>
              </w:rPr>
            </w:pPr>
          </w:p>
          <w:p w14:paraId="77E369F9" w14:textId="77777777" w:rsidR="006D1F66" w:rsidRDefault="006D1F66" w:rsidP="003623F4">
            <w:pPr>
              <w:rPr>
                <w:sz w:val="20"/>
                <w:szCs w:val="20"/>
              </w:rPr>
            </w:pPr>
          </w:p>
          <w:p w14:paraId="6A6573B6" w14:textId="77777777" w:rsidR="006D1F66" w:rsidRDefault="006D1F66" w:rsidP="003623F4">
            <w:pPr>
              <w:rPr>
                <w:sz w:val="20"/>
                <w:szCs w:val="20"/>
              </w:rPr>
            </w:pPr>
          </w:p>
          <w:p w14:paraId="5115006E" w14:textId="77777777" w:rsidR="006D1F66" w:rsidRDefault="006D1F66" w:rsidP="003623F4">
            <w:pPr>
              <w:rPr>
                <w:sz w:val="20"/>
                <w:szCs w:val="20"/>
              </w:rPr>
            </w:pPr>
          </w:p>
          <w:p w14:paraId="2DBE6AB5" w14:textId="77777777" w:rsidR="006D1F66" w:rsidRDefault="006D1F66" w:rsidP="003623F4">
            <w:pPr>
              <w:rPr>
                <w:sz w:val="20"/>
                <w:szCs w:val="20"/>
              </w:rPr>
            </w:pPr>
          </w:p>
          <w:p w14:paraId="7D10670F" w14:textId="77777777" w:rsidR="006D1F66" w:rsidRDefault="006D1F66" w:rsidP="003623F4">
            <w:pPr>
              <w:rPr>
                <w:sz w:val="20"/>
                <w:szCs w:val="20"/>
              </w:rPr>
            </w:pPr>
          </w:p>
          <w:p w14:paraId="794EAB53" w14:textId="77777777" w:rsidR="006D1F66" w:rsidRDefault="006D1F66" w:rsidP="003623F4">
            <w:pPr>
              <w:rPr>
                <w:sz w:val="20"/>
                <w:szCs w:val="20"/>
              </w:rPr>
            </w:pPr>
          </w:p>
          <w:p w14:paraId="5A0F792D" w14:textId="77777777" w:rsidR="006D1F66" w:rsidRDefault="006D1F66" w:rsidP="003623F4">
            <w:pPr>
              <w:rPr>
                <w:sz w:val="20"/>
                <w:szCs w:val="20"/>
              </w:rPr>
            </w:pPr>
          </w:p>
          <w:p w14:paraId="1EA88E17" w14:textId="77777777" w:rsidR="006D1F66" w:rsidRDefault="006D1F66" w:rsidP="003623F4">
            <w:pPr>
              <w:rPr>
                <w:sz w:val="20"/>
                <w:szCs w:val="20"/>
              </w:rPr>
            </w:pPr>
          </w:p>
          <w:p w14:paraId="435FBA8F" w14:textId="77777777" w:rsidR="006D1F66" w:rsidRDefault="006D1F66" w:rsidP="003623F4">
            <w:pPr>
              <w:rPr>
                <w:sz w:val="20"/>
                <w:szCs w:val="20"/>
              </w:rPr>
            </w:pPr>
          </w:p>
          <w:p w14:paraId="4A84CE40" w14:textId="77777777" w:rsidR="006D1F66" w:rsidRDefault="006D1F66" w:rsidP="003623F4">
            <w:pPr>
              <w:rPr>
                <w:sz w:val="20"/>
                <w:szCs w:val="20"/>
              </w:rPr>
            </w:pPr>
          </w:p>
          <w:p w14:paraId="3165FD7B" w14:textId="37E8238E" w:rsidR="006D1F66" w:rsidRPr="003656A0" w:rsidRDefault="006D1F66" w:rsidP="00C02FBC">
            <w:pPr>
              <w:rPr>
                <w:sz w:val="20"/>
                <w:szCs w:val="20"/>
              </w:rPr>
            </w:pPr>
          </w:p>
        </w:tc>
        <w:tc>
          <w:tcPr>
            <w:tcW w:w="2210" w:type="pct"/>
          </w:tcPr>
          <w:p w14:paraId="0ECC0966" w14:textId="77777777" w:rsidR="008C603C" w:rsidRDefault="008C603C" w:rsidP="0000328C">
            <w:pPr>
              <w:rPr>
                <w:b/>
                <w:sz w:val="20"/>
                <w:szCs w:val="20"/>
              </w:rPr>
            </w:pPr>
            <w:r w:rsidRPr="004B463E">
              <w:rPr>
                <w:b/>
                <w:sz w:val="20"/>
                <w:szCs w:val="20"/>
              </w:rPr>
              <w:lastRenderedPageBreak/>
              <w:t>Generic name: fats or oils</w:t>
            </w:r>
            <w:r>
              <w:rPr>
                <w:b/>
                <w:sz w:val="20"/>
                <w:szCs w:val="20"/>
              </w:rPr>
              <w:t xml:space="preserve"> </w:t>
            </w:r>
          </w:p>
          <w:p w14:paraId="1CED01E1" w14:textId="4491359E" w:rsidR="008C603C" w:rsidRPr="004B463E" w:rsidRDefault="008C603C" w:rsidP="0000328C">
            <w:pPr>
              <w:rPr>
                <w:b/>
                <w:sz w:val="20"/>
                <w:szCs w:val="20"/>
              </w:rPr>
            </w:pPr>
            <w:r>
              <w:rPr>
                <w:sz w:val="20"/>
                <w:szCs w:val="20"/>
              </w:rPr>
              <w:t>(S10</w:t>
            </w:r>
            <w:r w:rsidRPr="009C184D">
              <w:rPr>
                <w:rFonts w:cs="Arial"/>
                <w:sz w:val="20"/>
                <w:szCs w:val="20"/>
              </w:rPr>
              <w:t>―</w:t>
            </w:r>
            <w:r>
              <w:rPr>
                <w:rFonts w:cs="Arial"/>
                <w:sz w:val="20"/>
                <w:szCs w:val="20"/>
              </w:rPr>
              <w:t>2)</w:t>
            </w:r>
          </w:p>
          <w:p w14:paraId="4B6DCBF6" w14:textId="77777777" w:rsidR="008C603C" w:rsidRPr="00D07E9D" w:rsidRDefault="008C603C" w:rsidP="0000328C">
            <w:pPr>
              <w:rPr>
                <w:b/>
                <w:sz w:val="20"/>
                <w:szCs w:val="20"/>
              </w:rPr>
            </w:pPr>
          </w:p>
          <w:p w14:paraId="7BE78F73" w14:textId="42A93EF6" w:rsidR="008C603C" w:rsidRDefault="008C603C" w:rsidP="0000328C">
            <w:pPr>
              <w:pStyle w:val="Table2"/>
              <w:ind w:left="227" w:hanging="227"/>
              <w:rPr>
                <w:sz w:val="20"/>
              </w:rPr>
            </w:pPr>
            <w:r>
              <w:rPr>
                <w:sz w:val="20"/>
              </w:rPr>
              <w:t>Conditions for use:</w:t>
            </w:r>
          </w:p>
          <w:p w14:paraId="431A2211" w14:textId="77777777" w:rsidR="008C603C" w:rsidRDefault="008C603C" w:rsidP="00520E5B">
            <w:pPr>
              <w:pStyle w:val="Table2"/>
              <w:ind w:left="227" w:hanging="227"/>
              <w:jc w:val="center"/>
              <w:rPr>
                <w:sz w:val="20"/>
              </w:rPr>
            </w:pPr>
          </w:p>
          <w:p w14:paraId="059E64BD" w14:textId="02329507" w:rsidR="008C603C" w:rsidRDefault="008C603C" w:rsidP="001A782D">
            <w:pPr>
              <w:pStyle w:val="Table2"/>
              <w:numPr>
                <w:ilvl w:val="0"/>
                <w:numId w:val="17"/>
              </w:numPr>
              <w:spacing w:after="120"/>
              <w:ind w:left="420" w:hanging="425"/>
              <w:rPr>
                <w:sz w:val="20"/>
              </w:rPr>
            </w:pPr>
            <w:r>
              <w:rPr>
                <w:sz w:val="20"/>
              </w:rPr>
              <w:t>The statement of ingredients must declare:</w:t>
            </w:r>
          </w:p>
          <w:p w14:paraId="3B2540F4" w14:textId="03D3C132" w:rsidR="008C603C" w:rsidRDefault="008C603C" w:rsidP="001A782D">
            <w:pPr>
              <w:pStyle w:val="Table2"/>
              <w:numPr>
                <w:ilvl w:val="0"/>
                <w:numId w:val="9"/>
              </w:numPr>
              <w:spacing w:after="120"/>
              <w:rPr>
                <w:sz w:val="20"/>
              </w:rPr>
            </w:pPr>
            <w:r w:rsidRPr="00EF5C53">
              <w:rPr>
                <w:sz w:val="20"/>
              </w:rPr>
              <w:t>whether the source is animal or vegetable</w:t>
            </w:r>
            <w:r>
              <w:rPr>
                <w:sz w:val="20"/>
              </w:rPr>
              <w:t>; and</w:t>
            </w:r>
          </w:p>
          <w:p w14:paraId="62B66AA8" w14:textId="682CF92B" w:rsidR="008C603C" w:rsidRDefault="008C603C" w:rsidP="001A782D">
            <w:pPr>
              <w:pStyle w:val="Table2"/>
              <w:numPr>
                <w:ilvl w:val="0"/>
                <w:numId w:val="9"/>
              </w:numPr>
              <w:spacing w:after="120"/>
              <w:rPr>
                <w:sz w:val="20"/>
              </w:rPr>
            </w:pPr>
            <w:r>
              <w:rPr>
                <w:sz w:val="20"/>
              </w:rPr>
              <w:t>i</w:t>
            </w:r>
            <w:r w:rsidRPr="0000328C">
              <w:rPr>
                <w:sz w:val="20"/>
              </w:rPr>
              <w:t>f the source of oil is peanut, soy bean or sesame</w:t>
            </w:r>
            <w:r w:rsidRPr="009C184D">
              <w:rPr>
                <w:rFonts w:cs="Arial"/>
                <w:sz w:val="20"/>
              </w:rPr>
              <w:t>―</w:t>
            </w:r>
            <w:r w:rsidRPr="0000328C">
              <w:rPr>
                <w:sz w:val="20"/>
              </w:rPr>
              <w:t>the speci</w:t>
            </w:r>
            <w:r>
              <w:rPr>
                <w:sz w:val="20"/>
              </w:rPr>
              <w:t>fic source name; and</w:t>
            </w:r>
          </w:p>
          <w:p w14:paraId="3CF102F1" w14:textId="77777777" w:rsidR="008C603C" w:rsidRDefault="008C603C" w:rsidP="001A782D">
            <w:pPr>
              <w:pStyle w:val="Table2"/>
              <w:numPr>
                <w:ilvl w:val="0"/>
                <w:numId w:val="9"/>
              </w:numPr>
              <w:rPr>
                <w:sz w:val="20"/>
              </w:rPr>
            </w:pPr>
            <w:r>
              <w:rPr>
                <w:sz w:val="20"/>
              </w:rPr>
              <w:t>if the food is a dairy product, including ice cream</w:t>
            </w:r>
            <w:r w:rsidRPr="009C184D">
              <w:rPr>
                <w:rFonts w:cs="Arial"/>
                <w:sz w:val="20"/>
              </w:rPr>
              <w:t>―</w:t>
            </w:r>
            <w:r w:rsidRPr="00F51249">
              <w:rPr>
                <w:sz w:val="20"/>
              </w:rPr>
              <w:t xml:space="preserve">the </w:t>
            </w:r>
            <w:r>
              <w:rPr>
                <w:sz w:val="20"/>
              </w:rPr>
              <w:t>specific source of</w:t>
            </w:r>
            <w:r w:rsidRPr="00F51249">
              <w:rPr>
                <w:sz w:val="20"/>
              </w:rPr>
              <w:t xml:space="preserve"> animal fats or oils</w:t>
            </w:r>
            <w:r>
              <w:rPr>
                <w:sz w:val="20"/>
              </w:rPr>
              <w:t>.</w:t>
            </w:r>
          </w:p>
          <w:p w14:paraId="4B6F1BF6" w14:textId="77777777" w:rsidR="008C603C" w:rsidRDefault="008C603C" w:rsidP="00445BBE">
            <w:pPr>
              <w:pStyle w:val="Table2"/>
              <w:ind w:left="720" w:firstLine="0"/>
              <w:rPr>
                <w:sz w:val="20"/>
              </w:rPr>
            </w:pPr>
          </w:p>
          <w:p w14:paraId="30BA2204" w14:textId="614F29ED" w:rsidR="008C603C" w:rsidRPr="00F51249" w:rsidRDefault="008C603C" w:rsidP="003C6082">
            <w:pPr>
              <w:pStyle w:val="Table2"/>
              <w:numPr>
                <w:ilvl w:val="0"/>
                <w:numId w:val="17"/>
              </w:numPr>
              <w:ind w:left="420" w:hanging="425"/>
              <w:rPr>
                <w:sz w:val="20"/>
              </w:rPr>
            </w:pPr>
            <w:r>
              <w:rPr>
                <w:sz w:val="20"/>
              </w:rPr>
              <w:t>This generic name must not be used for diacylglycerol oil.</w:t>
            </w:r>
            <w:r w:rsidRPr="00F51249">
              <w:rPr>
                <w:sz w:val="20"/>
              </w:rPr>
              <w:t xml:space="preserve"> </w:t>
            </w:r>
          </w:p>
        </w:tc>
        <w:tc>
          <w:tcPr>
            <w:tcW w:w="2209" w:type="pct"/>
          </w:tcPr>
          <w:p w14:paraId="3F542EF0" w14:textId="53E213CB" w:rsidR="004D08EA" w:rsidRDefault="008C603C" w:rsidP="00AB3C7F">
            <w:pPr>
              <w:rPr>
                <w:sz w:val="20"/>
                <w:szCs w:val="20"/>
              </w:rPr>
            </w:pPr>
            <w:r>
              <w:rPr>
                <w:sz w:val="20"/>
                <w:szCs w:val="20"/>
              </w:rPr>
              <w:t>These requirements may need amending to require the generic terms ‘added fats’ and/or ‘added vegetable oils’ to be used, followed by a bracketed list of the specific ingredients.</w:t>
            </w:r>
            <w:r w:rsidR="009D56C2">
              <w:rPr>
                <w:sz w:val="20"/>
                <w:szCs w:val="20"/>
              </w:rPr>
              <w:t xml:space="preserve"> </w:t>
            </w:r>
            <w:r w:rsidR="00E068D6" w:rsidRPr="008D236C">
              <w:rPr>
                <w:sz w:val="20"/>
                <w:szCs w:val="20"/>
              </w:rPr>
              <w:t>The potential impacts on industry would need to be considered (see</w:t>
            </w:r>
            <w:r w:rsidR="00FB7F86" w:rsidRPr="008D236C">
              <w:rPr>
                <w:sz w:val="20"/>
                <w:szCs w:val="20"/>
              </w:rPr>
              <w:t xml:space="preserve"> potential</w:t>
            </w:r>
            <w:r w:rsidR="00E068D6" w:rsidRPr="008D236C">
              <w:rPr>
                <w:sz w:val="20"/>
                <w:szCs w:val="20"/>
              </w:rPr>
              <w:t xml:space="preserve"> impacts</w:t>
            </w:r>
            <w:r w:rsidR="0075720C" w:rsidRPr="008D236C">
              <w:rPr>
                <w:sz w:val="20"/>
                <w:szCs w:val="20"/>
              </w:rPr>
              <w:t xml:space="preserve"> reported by industry representatives in targeted consultation</w:t>
            </w:r>
            <w:r w:rsidR="00E068D6" w:rsidRPr="008D236C">
              <w:rPr>
                <w:sz w:val="20"/>
                <w:szCs w:val="20"/>
              </w:rPr>
              <w:t xml:space="preserve"> in</w:t>
            </w:r>
            <w:r w:rsidR="0075720C" w:rsidRPr="008D236C">
              <w:rPr>
                <w:sz w:val="20"/>
                <w:szCs w:val="20"/>
              </w:rPr>
              <w:t xml:space="preserve"> </w:t>
            </w:r>
            <w:r w:rsidR="0063339E" w:rsidRPr="008D236C">
              <w:rPr>
                <w:sz w:val="20"/>
                <w:szCs w:val="20"/>
              </w:rPr>
              <w:t>S</w:t>
            </w:r>
            <w:r w:rsidR="00135248" w:rsidRPr="008D236C">
              <w:rPr>
                <w:sz w:val="20"/>
                <w:szCs w:val="20"/>
              </w:rPr>
              <w:t xml:space="preserve">upporting </w:t>
            </w:r>
            <w:r w:rsidR="0063339E" w:rsidRPr="008D236C">
              <w:rPr>
                <w:sz w:val="20"/>
                <w:szCs w:val="20"/>
              </w:rPr>
              <w:t>D</w:t>
            </w:r>
            <w:r w:rsidR="00135248" w:rsidRPr="008D236C">
              <w:rPr>
                <w:sz w:val="20"/>
                <w:szCs w:val="20"/>
              </w:rPr>
              <w:t>ocument</w:t>
            </w:r>
            <w:r w:rsidR="0063339E" w:rsidRPr="008D236C">
              <w:rPr>
                <w:sz w:val="20"/>
                <w:szCs w:val="20"/>
              </w:rPr>
              <w:t xml:space="preserve"> </w:t>
            </w:r>
            <w:r w:rsidR="00135248" w:rsidRPr="008D236C">
              <w:rPr>
                <w:sz w:val="20"/>
                <w:szCs w:val="20"/>
              </w:rPr>
              <w:t>3</w:t>
            </w:r>
            <w:r w:rsidR="009D56C2" w:rsidRPr="008D236C">
              <w:rPr>
                <w:sz w:val="20"/>
                <w:szCs w:val="20"/>
              </w:rPr>
              <w:t>).</w:t>
            </w:r>
            <w:r w:rsidR="000C6BC2" w:rsidRPr="008D236C">
              <w:rPr>
                <w:sz w:val="20"/>
                <w:szCs w:val="20"/>
              </w:rPr>
              <w:t xml:space="preserve"> Considera</w:t>
            </w:r>
            <w:r w:rsidR="00993DE5">
              <w:rPr>
                <w:sz w:val="20"/>
                <w:szCs w:val="20"/>
              </w:rPr>
              <w:t>tion of any potential impacts</w:t>
            </w:r>
            <w:r w:rsidR="000C6BC2" w:rsidRPr="008D236C">
              <w:rPr>
                <w:sz w:val="20"/>
                <w:szCs w:val="20"/>
              </w:rPr>
              <w:t xml:space="preserve"> on consumer use and understanding would</w:t>
            </w:r>
            <w:r w:rsidR="00C12355" w:rsidRPr="008D236C">
              <w:rPr>
                <w:sz w:val="20"/>
                <w:szCs w:val="20"/>
              </w:rPr>
              <w:t xml:space="preserve"> also </w:t>
            </w:r>
            <w:r w:rsidR="000C6BC2" w:rsidRPr="008D236C">
              <w:rPr>
                <w:sz w:val="20"/>
                <w:szCs w:val="20"/>
              </w:rPr>
              <w:t xml:space="preserve">be required. For instance, </w:t>
            </w:r>
            <w:r w:rsidR="00A17496" w:rsidRPr="008D236C">
              <w:rPr>
                <w:sz w:val="20"/>
                <w:szCs w:val="20"/>
              </w:rPr>
              <w:t>it is not known how</w:t>
            </w:r>
            <w:r w:rsidR="000C6BC2" w:rsidRPr="008D236C">
              <w:rPr>
                <w:sz w:val="20"/>
                <w:szCs w:val="20"/>
              </w:rPr>
              <w:t xml:space="preserve"> consumers might perceive </w:t>
            </w:r>
            <w:r w:rsidR="00A17496" w:rsidRPr="008D236C">
              <w:rPr>
                <w:sz w:val="20"/>
                <w:szCs w:val="20"/>
              </w:rPr>
              <w:t>the</w:t>
            </w:r>
            <w:r w:rsidR="00887C3B" w:rsidRPr="008D236C">
              <w:rPr>
                <w:sz w:val="20"/>
                <w:szCs w:val="20"/>
              </w:rPr>
              <w:t xml:space="preserve"> grouping of </w:t>
            </w:r>
            <w:r w:rsidR="00FB7F86" w:rsidRPr="008D236C">
              <w:rPr>
                <w:sz w:val="20"/>
                <w:szCs w:val="20"/>
              </w:rPr>
              <w:t xml:space="preserve">individual </w:t>
            </w:r>
            <w:r w:rsidR="00887C3B" w:rsidRPr="008D236C">
              <w:rPr>
                <w:sz w:val="20"/>
                <w:szCs w:val="20"/>
              </w:rPr>
              <w:t>fats/oils with different fatty acid profiles (e.g. saturated and polyunsaturated fatty acids) as</w:t>
            </w:r>
            <w:r w:rsidR="00A17496" w:rsidRPr="008D236C">
              <w:rPr>
                <w:sz w:val="20"/>
                <w:szCs w:val="20"/>
              </w:rPr>
              <w:t xml:space="preserve"> </w:t>
            </w:r>
            <w:r w:rsidR="00A64518" w:rsidRPr="008D236C">
              <w:rPr>
                <w:sz w:val="20"/>
                <w:szCs w:val="20"/>
              </w:rPr>
              <w:t>‘added</w:t>
            </w:r>
            <w:r w:rsidR="004D08EA" w:rsidRPr="008D236C">
              <w:rPr>
                <w:sz w:val="20"/>
                <w:szCs w:val="20"/>
              </w:rPr>
              <w:t xml:space="preserve"> fats/</w:t>
            </w:r>
            <w:r w:rsidR="00A64518" w:rsidRPr="008D236C">
              <w:rPr>
                <w:sz w:val="20"/>
                <w:szCs w:val="20"/>
              </w:rPr>
              <w:t xml:space="preserve">vegetable </w:t>
            </w:r>
            <w:r w:rsidR="00A17496" w:rsidRPr="008D236C">
              <w:rPr>
                <w:sz w:val="20"/>
                <w:szCs w:val="20"/>
              </w:rPr>
              <w:t>oils</w:t>
            </w:r>
            <w:r w:rsidR="00A64518" w:rsidRPr="008D236C">
              <w:rPr>
                <w:sz w:val="20"/>
                <w:szCs w:val="20"/>
              </w:rPr>
              <w:t>’</w:t>
            </w:r>
            <w:r w:rsidR="00887C3B" w:rsidRPr="008D236C">
              <w:rPr>
                <w:sz w:val="20"/>
                <w:szCs w:val="20"/>
              </w:rPr>
              <w:t>.</w:t>
            </w:r>
          </w:p>
          <w:p w14:paraId="4B57ACF3" w14:textId="65041764" w:rsidR="00887C3B" w:rsidRDefault="00887C3B" w:rsidP="00AB3C7F">
            <w:pPr>
              <w:rPr>
                <w:sz w:val="20"/>
                <w:szCs w:val="20"/>
              </w:rPr>
            </w:pPr>
          </w:p>
          <w:p w14:paraId="6FB7AE1F" w14:textId="2DEC940A" w:rsidR="0093651E" w:rsidRDefault="00AB3C7F" w:rsidP="003C6082">
            <w:pPr>
              <w:rPr>
                <w:sz w:val="20"/>
                <w:szCs w:val="20"/>
              </w:rPr>
            </w:pPr>
            <w:r>
              <w:rPr>
                <w:sz w:val="20"/>
                <w:szCs w:val="20"/>
              </w:rPr>
              <w:t>Further issues associated with</w:t>
            </w:r>
            <w:r w:rsidR="008C603C">
              <w:rPr>
                <w:sz w:val="20"/>
                <w:szCs w:val="20"/>
              </w:rPr>
              <w:t xml:space="preserve"> added fats</w:t>
            </w:r>
            <w:r w:rsidR="00993DE5">
              <w:rPr>
                <w:sz w:val="20"/>
                <w:szCs w:val="20"/>
              </w:rPr>
              <w:t xml:space="preserve"> and vegetable oils are</w:t>
            </w:r>
            <w:r w:rsidR="00AC22E7">
              <w:rPr>
                <w:sz w:val="20"/>
                <w:szCs w:val="20"/>
              </w:rPr>
              <w:t xml:space="preserve"> discussed </w:t>
            </w:r>
            <w:r w:rsidR="008C603C">
              <w:rPr>
                <w:sz w:val="20"/>
                <w:szCs w:val="20"/>
              </w:rPr>
              <w:t>in section</w:t>
            </w:r>
            <w:r>
              <w:rPr>
                <w:sz w:val="20"/>
                <w:szCs w:val="20"/>
              </w:rPr>
              <w:t>s</w:t>
            </w:r>
            <w:r w:rsidR="008C603C">
              <w:rPr>
                <w:sz w:val="20"/>
                <w:szCs w:val="20"/>
              </w:rPr>
              <w:t xml:space="preserve"> </w:t>
            </w:r>
            <w:r>
              <w:rPr>
                <w:sz w:val="20"/>
                <w:szCs w:val="20"/>
              </w:rPr>
              <w:t>2.1 and 2.4</w:t>
            </w:r>
            <w:r w:rsidR="008C603C">
              <w:rPr>
                <w:sz w:val="20"/>
                <w:szCs w:val="20"/>
              </w:rPr>
              <w:t xml:space="preserve"> above. </w:t>
            </w:r>
          </w:p>
        </w:tc>
      </w:tr>
      <w:tr w:rsidR="008C603C" w14:paraId="42E86545" w14:textId="544C5024" w:rsidTr="006F35D7">
        <w:tc>
          <w:tcPr>
            <w:tcW w:w="581" w:type="pct"/>
            <w:vMerge/>
          </w:tcPr>
          <w:p w14:paraId="40F099DA" w14:textId="7DE64A17" w:rsidR="008C603C" w:rsidRDefault="008C603C" w:rsidP="003623F4">
            <w:pPr>
              <w:rPr>
                <w:sz w:val="20"/>
                <w:szCs w:val="20"/>
              </w:rPr>
            </w:pPr>
          </w:p>
        </w:tc>
        <w:tc>
          <w:tcPr>
            <w:tcW w:w="2210" w:type="pct"/>
          </w:tcPr>
          <w:p w14:paraId="11C2C4A5" w14:textId="71B06833" w:rsidR="008C603C" w:rsidRDefault="008C603C" w:rsidP="00B92876">
            <w:pPr>
              <w:rPr>
                <w:b/>
                <w:color w:val="000000"/>
                <w:sz w:val="20"/>
                <w:szCs w:val="20"/>
              </w:rPr>
            </w:pPr>
            <w:r w:rsidRPr="004B463E">
              <w:rPr>
                <w:b/>
                <w:color w:val="000000"/>
                <w:sz w:val="20"/>
                <w:szCs w:val="20"/>
              </w:rPr>
              <w:t>Generic name: sugar</w:t>
            </w:r>
            <w:r>
              <w:rPr>
                <w:b/>
                <w:color w:val="000000"/>
                <w:sz w:val="20"/>
                <w:szCs w:val="20"/>
              </w:rPr>
              <w:t xml:space="preserve"> </w:t>
            </w:r>
          </w:p>
          <w:p w14:paraId="58E56751" w14:textId="77FEA409" w:rsidR="008C603C" w:rsidRPr="004B463E" w:rsidRDefault="008C603C" w:rsidP="00B92876">
            <w:pPr>
              <w:rPr>
                <w:b/>
                <w:sz w:val="20"/>
                <w:szCs w:val="20"/>
              </w:rPr>
            </w:pPr>
            <w:r>
              <w:rPr>
                <w:sz w:val="20"/>
                <w:szCs w:val="20"/>
              </w:rPr>
              <w:t>(S10</w:t>
            </w:r>
            <w:r w:rsidRPr="009C184D">
              <w:rPr>
                <w:rFonts w:cs="Arial"/>
                <w:sz w:val="20"/>
                <w:szCs w:val="20"/>
              </w:rPr>
              <w:t>―</w:t>
            </w:r>
            <w:r>
              <w:rPr>
                <w:rFonts w:cs="Arial"/>
                <w:sz w:val="20"/>
                <w:szCs w:val="20"/>
              </w:rPr>
              <w:t>2)</w:t>
            </w:r>
          </w:p>
          <w:p w14:paraId="427F747D" w14:textId="77777777" w:rsidR="008C603C" w:rsidRPr="00C02FBC" w:rsidRDefault="008C603C" w:rsidP="00041ADB">
            <w:pPr>
              <w:rPr>
                <w:b/>
                <w:color w:val="000000"/>
                <w:sz w:val="16"/>
                <w:szCs w:val="16"/>
              </w:rPr>
            </w:pPr>
          </w:p>
          <w:p w14:paraId="4EF58760" w14:textId="3FA92429" w:rsidR="008C603C" w:rsidRDefault="008C603C" w:rsidP="00520E5B">
            <w:pPr>
              <w:pStyle w:val="Table2"/>
              <w:ind w:left="227" w:hanging="227"/>
              <w:rPr>
                <w:sz w:val="20"/>
              </w:rPr>
            </w:pPr>
            <w:r>
              <w:rPr>
                <w:sz w:val="20"/>
              </w:rPr>
              <w:t>Conditions for use:</w:t>
            </w:r>
          </w:p>
          <w:p w14:paraId="59EDABA6" w14:textId="77777777" w:rsidR="008C603C" w:rsidRPr="00C02FBC" w:rsidRDefault="008C603C" w:rsidP="00041ADB">
            <w:pPr>
              <w:pStyle w:val="Table2"/>
              <w:ind w:left="227" w:hanging="227"/>
              <w:rPr>
                <w:sz w:val="16"/>
                <w:szCs w:val="16"/>
              </w:rPr>
            </w:pPr>
          </w:p>
          <w:p w14:paraId="2DA5A123" w14:textId="77777777" w:rsidR="008C603C" w:rsidRDefault="008C603C" w:rsidP="001A782D">
            <w:pPr>
              <w:pStyle w:val="Table2"/>
              <w:numPr>
                <w:ilvl w:val="0"/>
                <w:numId w:val="10"/>
              </w:numPr>
              <w:spacing w:after="120"/>
              <w:ind w:left="420" w:hanging="425"/>
              <w:rPr>
                <w:sz w:val="20"/>
              </w:rPr>
            </w:pPr>
            <w:r>
              <w:rPr>
                <w:sz w:val="20"/>
              </w:rPr>
              <w:t xml:space="preserve">The name ‘sugar’ </w:t>
            </w:r>
            <w:r w:rsidRPr="00520E5B">
              <w:rPr>
                <w:sz w:val="20"/>
              </w:rPr>
              <w:t xml:space="preserve">may be used to describe: </w:t>
            </w:r>
          </w:p>
          <w:p w14:paraId="1316AE51" w14:textId="77777777" w:rsidR="008C603C" w:rsidRDefault="008C603C" w:rsidP="001A782D">
            <w:pPr>
              <w:pStyle w:val="Table2"/>
              <w:numPr>
                <w:ilvl w:val="0"/>
                <w:numId w:val="18"/>
              </w:numPr>
              <w:spacing w:after="60"/>
              <w:ind w:left="703" w:hanging="425"/>
              <w:rPr>
                <w:sz w:val="20"/>
              </w:rPr>
            </w:pPr>
            <w:r>
              <w:rPr>
                <w:sz w:val="20"/>
              </w:rPr>
              <w:t>white sugar; or</w:t>
            </w:r>
          </w:p>
          <w:p w14:paraId="2F35577D" w14:textId="77777777" w:rsidR="008C603C" w:rsidRDefault="008C603C" w:rsidP="001A782D">
            <w:pPr>
              <w:pStyle w:val="Table2"/>
              <w:numPr>
                <w:ilvl w:val="0"/>
                <w:numId w:val="18"/>
              </w:numPr>
              <w:spacing w:after="60"/>
              <w:ind w:left="703" w:hanging="425"/>
              <w:rPr>
                <w:sz w:val="20"/>
              </w:rPr>
            </w:pPr>
            <w:r w:rsidRPr="00520E5B">
              <w:rPr>
                <w:sz w:val="20"/>
              </w:rPr>
              <w:t>white refined sugar</w:t>
            </w:r>
            <w:r>
              <w:rPr>
                <w:sz w:val="20"/>
              </w:rPr>
              <w:t>; or</w:t>
            </w:r>
          </w:p>
          <w:p w14:paraId="5A4788E4" w14:textId="77777777" w:rsidR="008C603C" w:rsidRDefault="008C603C" w:rsidP="001A782D">
            <w:pPr>
              <w:pStyle w:val="Table2"/>
              <w:numPr>
                <w:ilvl w:val="0"/>
                <w:numId w:val="18"/>
              </w:numPr>
              <w:spacing w:after="60"/>
              <w:ind w:left="703" w:hanging="425"/>
              <w:rPr>
                <w:sz w:val="20"/>
              </w:rPr>
            </w:pPr>
            <w:r w:rsidRPr="00520E5B">
              <w:rPr>
                <w:sz w:val="20"/>
              </w:rPr>
              <w:t>caster sugar</w:t>
            </w:r>
            <w:r>
              <w:rPr>
                <w:sz w:val="20"/>
              </w:rPr>
              <w:t xml:space="preserve"> or</w:t>
            </w:r>
            <w:r w:rsidRPr="00EF5C53">
              <w:rPr>
                <w:sz w:val="20"/>
              </w:rPr>
              <w:t xml:space="preserve"> castor sugar</w:t>
            </w:r>
            <w:r>
              <w:rPr>
                <w:sz w:val="20"/>
              </w:rPr>
              <w:t>; or</w:t>
            </w:r>
            <w:r w:rsidRPr="00EF5C53">
              <w:rPr>
                <w:sz w:val="20"/>
              </w:rPr>
              <w:t xml:space="preserve"> </w:t>
            </w:r>
          </w:p>
          <w:p w14:paraId="21EA05AB" w14:textId="77777777" w:rsidR="008C603C" w:rsidRDefault="008C603C" w:rsidP="001A782D">
            <w:pPr>
              <w:pStyle w:val="Table2"/>
              <w:numPr>
                <w:ilvl w:val="0"/>
                <w:numId w:val="18"/>
              </w:numPr>
              <w:spacing w:after="60"/>
              <w:ind w:left="703" w:hanging="425"/>
              <w:rPr>
                <w:sz w:val="20"/>
              </w:rPr>
            </w:pPr>
            <w:r>
              <w:rPr>
                <w:sz w:val="20"/>
              </w:rPr>
              <w:t>loaf sugar</w:t>
            </w:r>
            <w:r w:rsidRPr="00EF5C53">
              <w:rPr>
                <w:sz w:val="20"/>
              </w:rPr>
              <w:t xml:space="preserve"> or cube sugar</w:t>
            </w:r>
            <w:r>
              <w:rPr>
                <w:sz w:val="20"/>
              </w:rPr>
              <w:t>; or</w:t>
            </w:r>
            <w:r w:rsidRPr="00EF5C53">
              <w:rPr>
                <w:sz w:val="20"/>
              </w:rPr>
              <w:t xml:space="preserve"> </w:t>
            </w:r>
          </w:p>
          <w:p w14:paraId="41F03143" w14:textId="77777777" w:rsidR="008C603C" w:rsidRDefault="008C603C" w:rsidP="001A782D">
            <w:pPr>
              <w:pStyle w:val="Table2"/>
              <w:numPr>
                <w:ilvl w:val="0"/>
                <w:numId w:val="18"/>
              </w:numPr>
              <w:spacing w:after="60"/>
              <w:ind w:left="703" w:hanging="425"/>
              <w:rPr>
                <w:sz w:val="20"/>
              </w:rPr>
            </w:pPr>
            <w:r>
              <w:rPr>
                <w:sz w:val="20"/>
              </w:rPr>
              <w:t>icing sugar; or</w:t>
            </w:r>
            <w:r w:rsidRPr="00EF5C53">
              <w:rPr>
                <w:sz w:val="20"/>
              </w:rPr>
              <w:t xml:space="preserve"> </w:t>
            </w:r>
          </w:p>
          <w:p w14:paraId="3964F35D" w14:textId="77777777" w:rsidR="008C603C" w:rsidRDefault="008C603C" w:rsidP="001A782D">
            <w:pPr>
              <w:pStyle w:val="Table2"/>
              <w:numPr>
                <w:ilvl w:val="0"/>
                <w:numId w:val="18"/>
              </w:numPr>
              <w:spacing w:after="60"/>
              <w:ind w:left="703" w:hanging="425"/>
              <w:rPr>
                <w:sz w:val="20"/>
              </w:rPr>
            </w:pPr>
            <w:r w:rsidRPr="00EF5C53">
              <w:rPr>
                <w:sz w:val="20"/>
              </w:rPr>
              <w:t>coffee sugar</w:t>
            </w:r>
            <w:r>
              <w:rPr>
                <w:sz w:val="20"/>
              </w:rPr>
              <w:t>; or</w:t>
            </w:r>
            <w:r w:rsidRPr="00EF5C53">
              <w:rPr>
                <w:sz w:val="20"/>
              </w:rPr>
              <w:t xml:space="preserve"> </w:t>
            </w:r>
          </w:p>
          <w:p w14:paraId="2E5FE497" w14:textId="77777777" w:rsidR="008C603C" w:rsidRDefault="008C603C" w:rsidP="001A782D">
            <w:pPr>
              <w:pStyle w:val="Table2"/>
              <w:numPr>
                <w:ilvl w:val="0"/>
                <w:numId w:val="18"/>
              </w:numPr>
              <w:spacing w:after="60"/>
              <w:ind w:left="703" w:hanging="425"/>
              <w:rPr>
                <w:sz w:val="20"/>
              </w:rPr>
            </w:pPr>
            <w:r w:rsidRPr="00EF5C53">
              <w:rPr>
                <w:sz w:val="20"/>
              </w:rPr>
              <w:t>coffee crystals</w:t>
            </w:r>
            <w:r>
              <w:rPr>
                <w:sz w:val="20"/>
              </w:rPr>
              <w:t>; or</w:t>
            </w:r>
            <w:r w:rsidRPr="00EF5C53">
              <w:rPr>
                <w:sz w:val="20"/>
              </w:rPr>
              <w:t xml:space="preserve"> </w:t>
            </w:r>
          </w:p>
          <w:p w14:paraId="65EA2347" w14:textId="279A2026" w:rsidR="008C603C" w:rsidRDefault="008C603C" w:rsidP="001A782D">
            <w:pPr>
              <w:pStyle w:val="Table2"/>
              <w:numPr>
                <w:ilvl w:val="0"/>
                <w:numId w:val="18"/>
              </w:numPr>
              <w:ind w:left="703" w:hanging="425"/>
              <w:rPr>
                <w:sz w:val="20"/>
              </w:rPr>
            </w:pPr>
            <w:r w:rsidRPr="00EF5C53">
              <w:rPr>
                <w:sz w:val="20"/>
              </w:rPr>
              <w:t>raw sugar</w:t>
            </w:r>
            <w:r>
              <w:rPr>
                <w:sz w:val="20"/>
              </w:rPr>
              <w:t>.</w:t>
            </w:r>
          </w:p>
          <w:p w14:paraId="074CC7D0" w14:textId="77777777" w:rsidR="008C603C" w:rsidRDefault="008C603C" w:rsidP="00B56EB4">
            <w:pPr>
              <w:pStyle w:val="Table2"/>
              <w:ind w:left="703" w:firstLine="0"/>
              <w:rPr>
                <w:sz w:val="20"/>
              </w:rPr>
            </w:pPr>
          </w:p>
          <w:p w14:paraId="694B19CF" w14:textId="1C2A40CB" w:rsidR="008C603C" w:rsidRDefault="008C603C" w:rsidP="00C02FBC">
            <w:pPr>
              <w:pStyle w:val="Table2"/>
              <w:numPr>
                <w:ilvl w:val="0"/>
                <w:numId w:val="10"/>
              </w:numPr>
              <w:spacing w:after="120"/>
              <w:ind w:left="419" w:hanging="425"/>
            </w:pPr>
            <w:r>
              <w:rPr>
                <w:sz w:val="20"/>
              </w:rPr>
              <w:t>The name ‘</w:t>
            </w:r>
            <w:r w:rsidRPr="00520E5B">
              <w:rPr>
                <w:sz w:val="20"/>
              </w:rPr>
              <w:t>sugars’ must not be used in a statement of ingredients.</w:t>
            </w:r>
          </w:p>
        </w:tc>
        <w:tc>
          <w:tcPr>
            <w:tcW w:w="2209" w:type="pct"/>
          </w:tcPr>
          <w:p w14:paraId="2867EBDC" w14:textId="4EB2212F" w:rsidR="008C603C" w:rsidRDefault="008C603C" w:rsidP="00657542">
            <w:pPr>
              <w:rPr>
                <w:sz w:val="20"/>
                <w:szCs w:val="20"/>
              </w:rPr>
            </w:pPr>
            <w:r>
              <w:rPr>
                <w:sz w:val="20"/>
                <w:szCs w:val="20"/>
              </w:rPr>
              <w:t xml:space="preserve">‘Sugar’: </w:t>
            </w:r>
            <w:r w:rsidR="00E27A1B">
              <w:rPr>
                <w:sz w:val="20"/>
                <w:szCs w:val="20"/>
              </w:rPr>
              <w:t xml:space="preserve">The types of sugar captured by this generic name would likely be required to be captured as ‘added sugars’ in the bracketed list. </w:t>
            </w:r>
            <w:r>
              <w:rPr>
                <w:sz w:val="20"/>
                <w:szCs w:val="20"/>
              </w:rPr>
              <w:t>Whether the g</w:t>
            </w:r>
            <w:r w:rsidR="00E27A1B">
              <w:rPr>
                <w:sz w:val="20"/>
                <w:szCs w:val="20"/>
              </w:rPr>
              <w:t xml:space="preserve">eneric name ‘sugar’ would </w:t>
            </w:r>
            <w:r w:rsidR="00657E21">
              <w:rPr>
                <w:sz w:val="20"/>
                <w:szCs w:val="20"/>
              </w:rPr>
              <w:t xml:space="preserve">still </w:t>
            </w:r>
            <w:r>
              <w:rPr>
                <w:sz w:val="20"/>
                <w:szCs w:val="20"/>
              </w:rPr>
              <w:t xml:space="preserve">be permitted to be used </w:t>
            </w:r>
            <w:r w:rsidR="00E27A1B">
              <w:rPr>
                <w:sz w:val="20"/>
                <w:szCs w:val="20"/>
              </w:rPr>
              <w:t xml:space="preserve">in the bracketed lists </w:t>
            </w:r>
            <w:r>
              <w:rPr>
                <w:sz w:val="20"/>
                <w:szCs w:val="20"/>
              </w:rPr>
              <w:t>for the</w:t>
            </w:r>
            <w:r w:rsidR="00657542">
              <w:rPr>
                <w:sz w:val="20"/>
                <w:szCs w:val="20"/>
              </w:rPr>
              <w:t xml:space="preserve">se types of sugar </w:t>
            </w:r>
            <w:r>
              <w:rPr>
                <w:sz w:val="20"/>
                <w:szCs w:val="20"/>
              </w:rPr>
              <w:t>(e.g. white sugar, cast</w:t>
            </w:r>
            <w:r w:rsidR="00E27A1B">
              <w:rPr>
                <w:sz w:val="20"/>
                <w:szCs w:val="20"/>
              </w:rPr>
              <w:t>or sugar), or if the specific names would be required, would</w:t>
            </w:r>
            <w:r>
              <w:rPr>
                <w:sz w:val="20"/>
                <w:szCs w:val="20"/>
              </w:rPr>
              <w:t xml:space="preserve"> require consideration. </w:t>
            </w:r>
            <w:r w:rsidR="00E27A1B">
              <w:rPr>
                <w:sz w:val="20"/>
                <w:szCs w:val="20"/>
              </w:rPr>
              <w:t xml:space="preserve">If the specific names were required, </w:t>
            </w:r>
            <w:r w:rsidR="00657542">
              <w:rPr>
                <w:sz w:val="20"/>
                <w:szCs w:val="20"/>
              </w:rPr>
              <w:t>the provisions for the listing o</w:t>
            </w:r>
            <w:r w:rsidR="00657E21">
              <w:rPr>
                <w:sz w:val="20"/>
                <w:szCs w:val="20"/>
              </w:rPr>
              <w:t xml:space="preserve">f alternative ingredients may </w:t>
            </w:r>
            <w:r w:rsidR="00657542">
              <w:rPr>
                <w:sz w:val="20"/>
                <w:szCs w:val="20"/>
              </w:rPr>
              <w:t>also need to be considered (</w:t>
            </w:r>
            <w:r w:rsidR="00657542" w:rsidRPr="009C184D">
              <w:rPr>
                <w:sz w:val="20"/>
                <w:szCs w:val="20"/>
              </w:rPr>
              <w:t>section 1.</w:t>
            </w:r>
            <w:r w:rsidR="00657542">
              <w:rPr>
                <w:sz w:val="20"/>
                <w:szCs w:val="20"/>
              </w:rPr>
              <w:t>2</w:t>
            </w:r>
            <w:r w:rsidR="00657542" w:rsidRPr="009C184D">
              <w:rPr>
                <w:sz w:val="20"/>
                <w:szCs w:val="20"/>
              </w:rPr>
              <w:t>.4</w:t>
            </w:r>
            <w:r w:rsidR="00657542" w:rsidRPr="009C184D">
              <w:rPr>
                <w:rFonts w:cs="Arial"/>
                <w:sz w:val="20"/>
                <w:szCs w:val="20"/>
              </w:rPr>
              <w:t>―</w:t>
            </w:r>
            <w:r w:rsidR="00657542">
              <w:rPr>
                <w:rFonts w:cs="Arial"/>
                <w:sz w:val="20"/>
                <w:szCs w:val="20"/>
              </w:rPr>
              <w:t xml:space="preserve">6 of the Code </w:t>
            </w:r>
            <w:r w:rsidR="00657542">
              <w:rPr>
                <w:sz w:val="20"/>
                <w:szCs w:val="20"/>
              </w:rPr>
              <w:t xml:space="preserve">as noted above). </w:t>
            </w:r>
            <w:r w:rsidR="00657E21">
              <w:rPr>
                <w:sz w:val="20"/>
                <w:szCs w:val="20"/>
              </w:rPr>
              <w:t>The</w:t>
            </w:r>
            <w:r w:rsidR="00E27A1B">
              <w:rPr>
                <w:sz w:val="20"/>
                <w:szCs w:val="20"/>
              </w:rPr>
              <w:t xml:space="preserve"> potential implications for industry </w:t>
            </w:r>
            <w:r w:rsidR="00671988">
              <w:rPr>
                <w:sz w:val="20"/>
                <w:szCs w:val="20"/>
              </w:rPr>
              <w:t xml:space="preserve">and consumers </w:t>
            </w:r>
            <w:r w:rsidR="00657E21">
              <w:rPr>
                <w:sz w:val="20"/>
                <w:szCs w:val="20"/>
              </w:rPr>
              <w:t xml:space="preserve">of any amendments to the existing generic name permission </w:t>
            </w:r>
            <w:r w:rsidR="00E27A1B">
              <w:rPr>
                <w:sz w:val="20"/>
                <w:szCs w:val="20"/>
              </w:rPr>
              <w:t>would need to be investigated.</w:t>
            </w:r>
            <w:r w:rsidR="00657542">
              <w:rPr>
                <w:sz w:val="20"/>
                <w:szCs w:val="20"/>
              </w:rPr>
              <w:t xml:space="preserve"> </w:t>
            </w:r>
          </w:p>
          <w:p w14:paraId="292E08EC" w14:textId="77777777" w:rsidR="008C603C" w:rsidRDefault="008C603C" w:rsidP="00041ADB">
            <w:pPr>
              <w:rPr>
                <w:sz w:val="20"/>
                <w:szCs w:val="20"/>
              </w:rPr>
            </w:pPr>
          </w:p>
          <w:p w14:paraId="0129FD55" w14:textId="19A4CC78" w:rsidR="008C603C" w:rsidRDefault="008C603C" w:rsidP="00F179A2">
            <w:pPr>
              <w:pStyle w:val="Clause"/>
            </w:pPr>
            <w:r>
              <w:t>‘Sugars’: Recommendation 12 indicates that the specific sugars ingredients added to a food must be declared in the bracketed list of ‘added sugars’ (e.g. fructose, glucose syrups), rather than using a generic name. This approach would align with the existing requirement.</w:t>
            </w:r>
          </w:p>
        </w:tc>
      </w:tr>
      <w:tr w:rsidR="008C603C" w14:paraId="248649A4" w14:textId="77777777" w:rsidTr="006F35D7">
        <w:tc>
          <w:tcPr>
            <w:tcW w:w="581" w:type="pct"/>
            <w:vMerge/>
          </w:tcPr>
          <w:p w14:paraId="46761AC3" w14:textId="785863D0" w:rsidR="008C603C" w:rsidRDefault="008C603C" w:rsidP="003623F4">
            <w:pPr>
              <w:rPr>
                <w:sz w:val="20"/>
                <w:szCs w:val="20"/>
              </w:rPr>
            </w:pPr>
          </w:p>
        </w:tc>
        <w:tc>
          <w:tcPr>
            <w:tcW w:w="2210" w:type="pct"/>
          </w:tcPr>
          <w:p w14:paraId="7EE7F303" w14:textId="77777777" w:rsidR="008C603C" w:rsidRDefault="008C603C" w:rsidP="00B92876">
            <w:pPr>
              <w:rPr>
                <w:b/>
                <w:sz w:val="20"/>
                <w:szCs w:val="20"/>
              </w:rPr>
            </w:pPr>
            <w:r>
              <w:rPr>
                <w:b/>
                <w:sz w:val="20"/>
                <w:szCs w:val="20"/>
              </w:rPr>
              <w:t xml:space="preserve">Generic name: milk solids </w:t>
            </w:r>
          </w:p>
          <w:p w14:paraId="5673D0EA" w14:textId="2362C323" w:rsidR="008C603C" w:rsidRPr="004B463E" w:rsidRDefault="008C603C" w:rsidP="00B92876">
            <w:pPr>
              <w:rPr>
                <w:b/>
                <w:sz w:val="20"/>
                <w:szCs w:val="20"/>
              </w:rPr>
            </w:pPr>
            <w:r>
              <w:rPr>
                <w:sz w:val="20"/>
                <w:szCs w:val="20"/>
              </w:rPr>
              <w:t>(S10</w:t>
            </w:r>
            <w:r w:rsidRPr="009C184D">
              <w:rPr>
                <w:rFonts w:cs="Arial"/>
                <w:sz w:val="20"/>
                <w:szCs w:val="20"/>
              </w:rPr>
              <w:t>―</w:t>
            </w:r>
            <w:r>
              <w:rPr>
                <w:rFonts w:cs="Arial"/>
                <w:sz w:val="20"/>
                <w:szCs w:val="20"/>
              </w:rPr>
              <w:t>2)</w:t>
            </w:r>
          </w:p>
          <w:p w14:paraId="7617E0F1" w14:textId="77777777" w:rsidR="008C603C" w:rsidRPr="00C02FBC" w:rsidRDefault="008C603C" w:rsidP="00041ADB">
            <w:pPr>
              <w:rPr>
                <w:sz w:val="16"/>
                <w:szCs w:val="16"/>
              </w:rPr>
            </w:pPr>
          </w:p>
          <w:p w14:paraId="1899C30F" w14:textId="77777777" w:rsidR="008C603C" w:rsidRDefault="008C603C" w:rsidP="00041ADB">
            <w:pPr>
              <w:rPr>
                <w:sz w:val="20"/>
                <w:szCs w:val="20"/>
              </w:rPr>
            </w:pPr>
            <w:r>
              <w:rPr>
                <w:sz w:val="20"/>
                <w:szCs w:val="20"/>
              </w:rPr>
              <w:t>Conditions for use:</w:t>
            </w:r>
          </w:p>
          <w:p w14:paraId="55E3D915" w14:textId="77777777" w:rsidR="008C603C" w:rsidRPr="00C02FBC" w:rsidRDefault="008C603C" w:rsidP="00041ADB">
            <w:pPr>
              <w:rPr>
                <w:sz w:val="16"/>
                <w:szCs w:val="16"/>
              </w:rPr>
            </w:pPr>
          </w:p>
          <w:p w14:paraId="03B4B193" w14:textId="7DD39A29" w:rsidR="008C603C" w:rsidRDefault="008C603C" w:rsidP="001A782D">
            <w:pPr>
              <w:spacing w:after="120"/>
              <w:rPr>
                <w:rFonts w:cs="Arial"/>
                <w:sz w:val="19"/>
                <w:szCs w:val="19"/>
              </w:rPr>
            </w:pPr>
            <w:r>
              <w:rPr>
                <w:rFonts w:cs="Arial"/>
                <w:sz w:val="19"/>
                <w:szCs w:val="19"/>
              </w:rPr>
              <w:t>May be used to describe:</w:t>
            </w:r>
          </w:p>
          <w:p w14:paraId="395C745D" w14:textId="77777777" w:rsidR="008C603C" w:rsidRDefault="008C603C" w:rsidP="001A782D">
            <w:pPr>
              <w:pStyle w:val="ListParagraph"/>
              <w:numPr>
                <w:ilvl w:val="0"/>
                <w:numId w:val="11"/>
              </w:numPr>
              <w:spacing w:after="120"/>
              <w:ind w:left="420" w:hanging="425"/>
              <w:contextualSpacing w:val="0"/>
              <w:rPr>
                <w:rFonts w:cs="Arial"/>
                <w:sz w:val="19"/>
                <w:szCs w:val="19"/>
              </w:rPr>
            </w:pPr>
            <w:r>
              <w:rPr>
                <w:rFonts w:cs="Arial"/>
                <w:sz w:val="19"/>
                <w:szCs w:val="19"/>
              </w:rPr>
              <w:t>milk powder, skim milk powder or dried milk products; or</w:t>
            </w:r>
          </w:p>
          <w:p w14:paraId="69E11234" w14:textId="77777777" w:rsidR="008C603C" w:rsidRDefault="008C603C" w:rsidP="001A782D">
            <w:pPr>
              <w:pStyle w:val="ListParagraph"/>
              <w:numPr>
                <w:ilvl w:val="0"/>
                <w:numId w:val="11"/>
              </w:numPr>
              <w:spacing w:after="120"/>
              <w:ind w:left="420" w:hanging="425"/>
              <w:contextualSpacing w:val="0"/>
              <w:rPr>
                <w:rFonts w:cs="Arial"/>
                <w:sz w:val="19"/>
                <w:szCs w:val="19"/>
              </w:rPr>
            </w:pPr>
            <w:r>
              <w:rPr>
                <w:rFonts w:cs="Arial"/>
                <w:sz w:val="19"/>
                <w:szCs w:val="19"/>
              </w:rPr>
              <w:t>any 2</w:t>
            </w:r>
            <w:r w:rsidRPr="00E62240">
              <w:rPr>
                <w:rFonts w:cs="Arial"/>
                <w:sz w:val="19"/>
                <w:szCs w:val="19"/>
              </w:rPr>
              <w:t xml:space="preserve"> or more of the following ingredients:</w:t>
            </w:r>
          </w:p>
          <w:p w14:paraId="0AB02BA2" w14:textId="246AD8A3" w:rsidR="008C603C" w:rsidRDefault="008C603C" w:rsidP="001A782D">
            <w:pPr>
              <w:pStyle w:val="ListParagraph"/>
              <w:numPr>
                <w:ilvl w:val="0"/>
                <w:numId w:val="19"/>
              </w:numPr>
              <w:spacing w:after="60"/>
              <w:ind w:left="703" w:hanging="425"/>
              <w:contextualSpacing w:val="0"/>
              <w:rPr>
                <w:rFonts w:cs="Arial"/>
                <w:sz w:val="19"/>
                <w:szCs w:val="19"/>
              </w:rPr>
            </w:pPr>
            <w:r>
              <w:rPr>
                <w:rFonts w:cs="Arial"/>
                <w:sz w:val="19"/>
                <w:szCs w:val="19"/>
              </w:rPr>
              <w:t>whey;</w:t>
            </w:r>
          </w:p>
          <w:p w14:paraId="1D60EFE2" w14:textId="77777777" w:rsidR="008C603C" w:rsidRDefault="008C603C" w:rsidP="001A782D">
            <w:pPr>
              <w:pStyle w:val="ListParagraph"/>
              <w:numPr>
                <w:ilvl w:val="0"/>
                <w:numId w:val="19"/>
              </w:numPr>
              <w:spacing w:after="60"/>
              <w:ind w:left="703" w:hanging="425"/>
              <w:contextualSpacing w:val="0"/>
              <w:rPr>
                <w:rFonts w:cs="Arial"/>
                <w:sz w:val="19"/>
                <w:szCs w:val="19"/>
              </w:rPr>
            </w:pPr>
            <w:r>
              <w:rPr>
                <w:rFonts w:cs="Arial"/>
                <w:sz w:val="19"/>
                <w:szCs w:val="19"/>
              </w:rPr>
              <w:t>whey powder;</w:t>
            </w:r>
            <w:r w:rsidRPr="00E62240">
              <w:rPr>
                <w:rFonts w:cs="Arial"/>
                <w:sz w:val="19"/>
                <w:szCs w:val="19"/>
              </w:rPr>
              <w:t xml:space="preserve"> </w:t>
            </w:r>
          </w:p>
          <w:p w14:paraId="7318D839" w14:textId="77777777" w:rsidR="008C603C" w:rsidRDefault="008C603C" w:rsidP="001A782D">
            <w:pPr>
              <w:pStyle w:val="ListParagraph"/>
              <w:numPr>
                <w:ilvl w:val="0"/>
                <w:numId w:val="19"/>
              </w:numPr>
              <w:spacing w:after="60"/>
              <w:ind w:left="703" w:hanging="425"/>
              <w:contextualSpacing w:val="0"/>
              <w:rPr>
                <w:rFonts w:cs="Arial"/>
                <w:sz w:val="19"/>
                <w:szCs w:val="19"/>
              </w:rPr>
            </w:pPr>
            <w:r w:rsidRPr="00E62240">
              <w:rPr>
                <w:rFonts w:cs="Arial"/>
                <w:sz w:val="19"/>
                <w:szCs w:val="19"/>
              </w:rPr>
              <w:t>whey proteins</w:t>
            </w:r>
            <w:r>
              <w:rPr>
                <w:rFonts w:cs="Arial"/>
                <w:sz w:val="19"/>
                <w:szCs w:val="19"/>
              </w:rPr>
              <w:t>;</w:t>
            </w:r>
            <w:r w:rsidRPr="00E62240">
              <w:rPr>
                <w:rFonts w:cs="Arial"/>
                <w:sz w:val="19"/>
                <w:szCs w:val="19"/>
              </w:rPr>
              <w:t xml:space="preserve"> </w:t>
            </w:r>
          </w:p>
          <w:p w14:paraId="4FB1ACB6" w14:textId="77777777" w:rsidR="008C603C" w:rsidRDefault="008C603C" w:rsidP="001A782D">
            <w:pPr>
              <w:pStyle w:val="ListParagraph"/>
              <w:numPr>
                <w:ilvl w:val="0"/>
                <w:numId w:val="19"/>
              </w:numPr>
              <w:spacing w:after="60"/>
              <w:ind w:left="703" w:hanging="425"/>
              <w:contextualSpacing w:val="0"/>
              <w:rPr>
                <w:rFonts w:cs="Arial"/>
                <w:sz w:val="19"/>
                <w:szCs w:val="19"/>
              </w:rPr>
            </w:pPr>
            <w:r w:rsidRPr="00E62240">
              <w:rPr>
                <w:rFonts w:cs="Arial"/>
                <w:sz w:val="19"/>
                <w:szCs w:val="19"/>
              </w:rPr>
              <w:t>lactose</w:t>
            </w:r>
            <w:r>
              <w:rPr>
                <w:rFonts w:cs="Arial"/>
                <w:sz w:val="19"/>
                <w:szCs w:val="19"/>
              </w:rPr>
              <w:t>;</w:t>
            </w:r>
            <w:r w:rsidRPr="00E62240">
              <w:rPr>
                <w:rFonts w:cs="Arial"/>
                <w:sz w:val="19"/>
                <w:szCs w:val="19"/>
              </w:rPr>
              <w:t xml:space="preserve"> </w:t>
            </w:r>
          </w:p>
          <w:p w14:paraId="57B91C12" w14:textId="77777777" w:rsidR="008C603C" w:rsidRDefault="008C603C" w:rsidP="001A782D">
            <w:pPr>
              <w:pStyle w:val="ListParagraph"/>
              <w:numPr>
                <w:ilvl w:val="0"/>
                <w:numId w:val="19"/>
              </w:numPr>
              <w:spacing w:after="60"/>
              <w:ind w:left="703" w:hanging="425"/>
              <w:contextualSpacing w:val="0"/>
              <w:rPr>
                <w:rFonts w:cs="Arial"/>
                <w:sz w:val="19"/>
                <w:szCs w:val="19"/>
              </w:rPr>
            </w:pPr>
            <w:r>
              <w:rPr>
                <w:rFonts w:cs="Arial"/>
                <w:sz w:val="19"/>
                <w:szCs w:val="19"/>
              </w:rPr>
              <w:t>caseinates;</w:t>
            </w:r>
            <w:r w:rsidRPr="00E62240">
              <w:rPr>
                <w:rFonts w:cs="Arial"/>
                <w:sz w:val="19"/>
                <w:szCs w:val="19"/>
              </w:rPr>
              <w:t xml:space="preserve"> </w:t>
            </w:r>
          </w:p>
          <w:p w14:paraId="38429643" w14:textId="77777777" w:rsidR="008C603C" w:rsidRDefault="008C603C" w:rsidP="001A782D">
            <w:pPr>
              <w:pStyle w:val="ListParagraph"/>
              <w:numPr>
                <w:ilvl w:val="0"/>
                <w:numId w:val="19"/>
              </w:numPr>
              <w:spacing w:after="60"/>
              <w:ind w:left="703" w:hanging="425"/>
              <w:contextualSpacing w:val="0"/>
              <w:rPr>
                <w:rFonts w:cs="Arial"/>
                <w:sz w:val="19"/>
                <w:szCs w:val="19"/>
              </w:rPr>
            </w:pPr>
            <w:r w:rsidRPr="00E62240">
              <w:rPr>
                <w:rFonts w:cs="Arial"/>
                <w:sz w:val="19"/>
                <w:szCs w:val="19"/>
              </w:rPr>
              <w:t>milk proteins</w:t>
            </w:r>
            <w:r>
              <w:rPr>
                <w:rFonts w:cs="Arial"/>
                <w:sz w:val="19"/>
                <w:szCs w:val="19"/>
              </w:rPr>
              <w:t>;</w:t>
            </w:r>
          </w:p>
          <w:p w14:paraId="3BED7534" w14:textId="22090E87" w:rsidR="00135248" w:rsidRPr="00264BE8" w:rsidRDefault="008C603C" w:rsidP="00C02FBC">
            <w:pPr>
              <w:pStyle w:val="ListParagraph"/>
              <w:numPr>
                <w:ilvl w:val="0"/>
                <w:numId w:val="19"/>
              </w:numPr>
              <w:ind w:left="703" w:hanging="425"/>
              <w:rPr>
                <w:rFonts w:cs="Arial"/>
                <w:sz w:val="19"/>
                <w:szCs w:val="19"/>
              </w:rPr>
            </w:pPr>
            <w:r>
              <w:rPr>
                <w:rFonts w:cs="Arial"/>
                <w:sz w:val="19"/>
                <w:szCs w:val="19"/>
              </w:rPr>
              <w:t>m</w:t>
            </w:r>
            <w:r w:rsidRPr="00E62240">
              <w:rPr>
                <w:rFonts w:cs="Arial"/>
                <w:sz w:val="19"/>
                <w:szCs w:val="19"/>
              </w:rPr>
              <w:t>ilk fat.</w:t>
            </w:r>
          </w:p>
        </w:tc>
        <w:tc>
          <w:tcPr>
            <w:tcW w:w="2209" w:type="pct"/>
          </w:tcPr>
          <w:p w14:paraId="12ACC769" w14:textId="10987321" w:rsidR="008C603C" w:rsidRDefault="008C603C" w:rsidP="002F1CF3">
            <w:pPr>
              <w:rPr>
                <w:sz w:val="20"/>
                <w:szCs w:val="20"/>
              </w:rPr>
            </w:pPr>
            <w:r>
              <w:rPr>
                <w:sz w:val="20"/>
                <w:szCs w:val="20"/>
              </w:rPr>
              <w:t>As Recommendation 12 indicates that the specific source of added ingredients (e.g. ‘milk fat’) would need to be declared, the ingredients permitted to use the generic name ‘milk solids’ would require consideration</w:t>
            </w:r>
            <w:r w:rsidR="00264BE8">
              <w:rPr>
                <w:sz w:val="20"/>
                <w:szCs w:val="20"/>
              </w:rPr>
              <w:t xml:space="preserve"> and may need to be amended</w:t>
            </w:r>
            <w:r>
              <w:rPr>
                <w:sz w:val="20"/>
                <w:szCs w:val="20"/>
              </w:rPr>
              <w:t>.</w:t>
            </w:r>
            <w:r w:rsidR="00E27A1B">
              <w:rPr>
                <w:sz w:val="20"/>
                <w:szCs w:val="20"/>
              </w:rPr>
              <w:t xml:space="preserve"> If amendments were made, any potential implications for industr</w:t>
            </w:r>
            <w:r w:rsidR="00657542">
              <w:rPr>
                <w:sz w:val="20"/>
                <w:szCs w:val="20"/>
              </w:rPr>
              <w:t xml:space="preserve">y </w:t>
            </w:r>
            <w:r w:rsidR="00BE1E92">
              <w:rPr>
                <w:sz w:val="20"/>
                <w:szCs w:val="20"/>
              </w:rPr>
              <w:t xml:space="preserve">and consumers </w:t>
            </w:r>
            <w:r w:rsidR="00657542">
              <w:rPr>
                <w:sz w:val="20"/>
                <w:szCs w:val="20"/>
              </w:rPr>
              <w:t>would need to be investigated</w:t>
            </w:r>
            <w:r w:rsidR="00657E21">
              <w:rPr>
                <w:sz w:val="20"/>
                <w:szCs w:val="20"/>
              </w:rPr>
              <w:t>.</w:t>
            </w:r>
          </w:p>
          <w:p w14:paraId="37883D2D" w14:textId="77777777" w:rsidR="008C603C" w:rsidRDefault="008C603C" w:rsidP="00657542">
            <w:pPr>
              <w:pStyle w:val="FSBullet1"/>
              <w:numPr>
                <w:ilvl w:val="0"/>
                <w:numId w:val="0"/>
              </w:numPr>
              <w:rPr>
                <w:sz w:val="20"/>
                <w:szCs w:val="20"/>
              </w:rPr>
            </w:pPr>
          </w:p>
          <w:p w14:paraId="0C195C3C" w14:textId="77777777" w:rsidR="00657542" w:rsidRDefault="00657542" w:rsidP="00657542"/>
          <w:p w14:paraId="1FB62CA0" w14:textId="25F6D663" w:rsidR="00657542" w:rsidRPr="00657542" w:rsidRDefault="00657542" w:rsidP="00657542"/>
        </w:tc>
      </w:tr>
      <w:tr w:rsidR="008C603C" w14:paraId="4D3EE760" w14:textId="77777777" w:rsidTr="006F35D7">
        <w:tc>
          <w:tcPr>
            <w:tcW w:w="581" w:type="pct"/>
          </w:tcPr>
          <w:p w14:paraId="5E56AF89" w14:textId="18791E88" w:rsidR="008C603C" w:rsidRPr="00041997" w:rsidRDefault="008C603C" w:rsidP="00D24A66">
            <w:pPr>
              <w:rPr>
                <w:sz w:val="20"/>
                <w:szCs w:val="20"/>
              </w:rPr>
            </w:pPr>
            <w:r>
              <w:rPr>
                <w:sz w:val="20"/>
                <w:szCs w:val="20"/>
              </w:rPr>
              <w:lastRenderedPageBreak/>
              <w:t>Standard 1.1.2 – Definitions used throughout the Code</w:t>
            </w:r>
          </w:p>
        </w:tc>
        <w:tc>
          <w:tcPr>
            <w:tcW w:w="2210" w:type="pct"/>
          </w:tcPr>
          <w:p w14:paraId="1EE4D1BC" w14:textId="79B9AF01" w:rsidR="008C603C" w:rsidRDefault="008C603C" w:rsidP="005D5530">
            <w:pPr>
              <w:pStyle w:val="Clauseheading"/>
            </w:pPr>
            <w:r>
              <w:t xml:space="preserve">Definitions for sugars </w:t>
            </w:r>
          </w:p>
          <w:p w14:paraId="63FBCACA" w14:textId="664722F4" w:rsidR="008C603C" w:rsidRPr="005D5530" w:rsidRDefault="008C603C" w:rsidP="005D5530">
            <w:pPr>
              <w:pStyle w:val="Clauseheading"/>
              <w:rPr>
                <w:b w:val="0"/>
              </w:rPr>
            </w:pPr>
            <w:r w:rsidRPr="005D5530">
              <w:rPr>
                <w:rFonts w:cs="Arial"/>
                <w:b w:val="0"/>
              </w:rPr>
              <w:t>(</w:t>
            </w:r>
            <w:r w:rsidRPr="005D5530">
              <w:rPr>
                <w:b w:val="0"/>
              </w:rPr>
              <w:t>section 1</w:t>
            </w:r>
            <w:r>
              <w:rPr>
                <w:b w:val="0"/>
              </w:rPr>
              <w:t>.1.2</w:t>
            </w:r>
            <w:r w:rsidRPr="00B402AD">
              <w:rPr>
                <w:rFonts w:cs="Arial"/>
                <w:b w:val="0"/>
              </w:rPr>
              <w:t>―2</w:t>
            </w:r>
            <w:r>
              <w:rPr>
                <w:rFonts w:cs="Arial"/>
                <w:b w:val="0"/>
              </w:rPr>
              <w:t>(3)</w:t>
            </w:r>
            <w:r w:rsidRPr="005D5530">
              <w:rPr>
                <w:rFonts w:cs="Arial"/>
                <w:b w:val="0"/>
              </w:rPr>
              <w:t>)</w:t>
            </w:r>
          </w:p>
          <w:p w14:paraId="0F7C38DC" w14:textId="77777777" w:rsidR="008C603C" w:rsidRPr="00C02FBC" w:rsidRDefault="008C603C" w:rsidP="00D24A66">
            <w:pPr>
              <w:rPr>
                <w:sz w:val="16"/>
                <w:szCs w:val="16"/>
              </w:rPr>
            </w:pPr>
          </w:p>
          <w:p w14:paraId="0DF99933" w14:textId="633FC3A3" w:rsidR="008C603C" w:rsidRDefault="008C603C" w:rsidP="00D24A66">
            <w:pPr>
              <w:pStyle w:val="Clause"/>
            </w:pPr>
            <w:r>
              <w:rPr>
                <w:b/>
                <w:i/>
              </w:rPr>
              <w:t>s</w:t>
            </w:r>
            <w:r w:rsidRPr="005D5530">
              <w:rPr>
                <w:b/>
                <w:i/>
              </w:rPr>
              <w:t>ugars</w:t>
            </w:r>
            <w:r>
              <w:rPr>
                <w:b/>
                <w:i/>
              </w:rPr>
              <w:t>:</w:t>
            </w:r>
          </w:p>
          <w:p w14:paraId="2B9E166E" w14:textId="5A1A9E22" w:rsidR="008C603C" w:rsidRDefault="008C603C" w:rsidP="001A782D">
            <w:pPr>
              <w:pStyle w:val="Clause"/>
              <w:numPr>
                <w:ilvl w:val="0"/>
                <w:numId w:val="14"/>
              </w:numPr>
            </w:pPr>
            <w:r>
              <w:t xml:space="preserve">in Standard 1.2.7, Standard 1.2.8 and Schedule 4 (except where it appears with an asterisk as </w:t>
            </w:r>
            <w:r w:rsidR="00B40BDF">
              <w:t>‘</w:t>
            </w:r>
            <w:r w:rsidRPr="00B40BDF">
              <w:t>sugars*</w:t>
            </w:r>
            <w:r w:rsidR="00B40BDF">
              <w:t>’</w:t>
            </w:r>
            <w:r>
              <w:t>) – means monosaccharides and disaccharides</w:t>
            </w:r>
          </w:p>
          <w:p w14:paraId="15FE843F" w14:textId="77777777" w:rsidR="008C603C" w:rsidRDefault="008C603C" w:rsidP="005D5530">
            <w:pPr>
              <w:rPr>
                <w:sz w:val="20"/>
                <w:szCs w:val="20"/>
              </w:rPr>
            </w:pPr>
          </w:p>
          <w:p w14:paraId="57E369C6" w14:textId="2B1A656B" w:rsidR="008C603C" w:rsidRPr="00B402AD" w:rsidRDefault="008C603C" w:rsidP="001A782D">
            <w:pPr>
              <w:pStyle w:val="ListParagraph"/>
              <w:numPr>
                <w:ilvl w:val="0"/>
                <w:numId w:val="14"/>
              </w:numPr>
              <w:rPr>
                <w:sz w:val="20"/>
                <w:szCs w:val="20"/>
              </w:rPr>
            </w:pPr>
            <w:r w:rsidRPr="00B402AD">
              <w:rPr>
                <w:sz w:val="20"/>
                <w:szCs w:val="20"/>
              </w:rPr>
              <w:t>Otherwise – means any of the following products, derived from any s</w:t>
            </w:r>
            <w:r w:rsidR="00B40BDF">
              <w:rPr>
                <w:sz w:val="20"/>
                <w:szCs w:val="20"/>
              </w:rPr>
              <w:t>ource (including when appears with</w:t>
            </w:r>
            <w:r w:rsidRPr="00B402AD">
              <w:rPr>
                <w:sz w:val="20"/>
                <w:szCs w:val="20"/>
              </w:rPr>
              <w:t xml:space="preserve"> an asterisk as </w:t>
            </w:r>
            <w:r w:rsidR="00B40BDF">
              <w:rPr>
                <w:sz w:val="20"/>
                <w:szCs w:val="20"/>
              </w:rPr>
              <w:t>‘</w:t>
            </w:r>
            <w:r w:rsidRPr="00B40BDF">
              <w:rPr>
                <w:sz w:val="20"/>
                <w:szCs w:val="20"/>
              </w:rPr>
              <w:t>sugars*</w:t>
            </w:r>
            <w:r w:rsidR="00B40BDF">
              <w:rPr>
                <w:sz w:val="20"/>
                <w:szCs w:val="20"/>
              </w:rPr>
              <w:t>’</w:t>
            </w:r>
            <w:r w:rsidRPr="00B402AD">
              <w:rPr>
                <w:sz w:val="20"/>
                <w:szCs w:val="20"/>
              </w:rPr>
              <w:t>):</w:t>
            </w:r>
          </w:p>
          <w:p w14:paraId="6ACF50E0" w14:textId="77777777" w:rsidR="008C603C" w:rsidRPr="00C02FBC" w:rsidRDefault="008C603C" w:rsidP="00D24A66">
            <w:pPr>
              <w:rPr>
                <w:sz w:val="16"/>
                <w:szCs w:val="16"/>
              </w:rPr>
            </w:pPr>
          </w:p>
          <w:p w14:paraId="2E5E9631" w14:textId="3C6116B3" w:rsidR="008C603C" w:rsidRPr="00041997" w:rsidRDefault="008C603C" w:rsidP="001A782D">
            <w:pPr>
              <w:pStyle w:val="Subparagraph"/>
              <w:spacing w:after="60"/>
              <w:ind w:left="1128" w:hanging="425"/>
            </w:pPr>
            <w:r w:rsidRPr="00041997">
              <w:t>(</w:t>
            </w:r>
            <w:r>
              <w:t xml:space="preserve">i)    </w:t>
            </w:r>
            <w:r w:rsidRPr="00041997">
              <w:t>hexose monosaccharid</w:t>
            </w:r>
            <w:r>
              <w:t xml:space="preserve">es and disaccharides, including </w:t>
            </w:r>
            <w:r w:rsidRPr="00041997">
              <w:t>dextrose, f</w:t>
            </w:r>
            <w:r>
              <w:t>ructose, sucrose and lactose;</w:t>
            </w:r>
          </w:p>
          <w:p w14:paraId="7DB4902B" w14:textId="51433E5A" w:rsidR="008C603C" w:rsidRPr="00041997" w:rsidRDefault="008C603C" w:rsidP="001A782D">
            <w:pPr>
              <w:pStyle w:val="Subparagraph"/>
              <w:spacing w:after="60"/>
              <w:ind w:left="1128" w:hanging="425"/>
            </w:pPr>
            <w:r w:rsidRPr="00041997">
              <w:t>(</w:t>
            </w:r>
            <w:r>
              <w:t>ii)</w:t>
            </w:r>
            <w:r>
              <w:tab/>
              <w:t>starch hydrolysate;</w:t>
            </w:r>
          </w:p>
          <w:p w14:paraId="130BAE92" w14:textId="5216792E" w:rsidR="008C603C" w:rsidRPr="00041997" w:rsidRDefault="008C603C" w:rsidP="001A782D">
            <w:pPr>
              <w:pStyle w:val="Subparagraph"/>
              <w:spacing w:after="60"/>
              <w:ind w:left="1128" w:hanging="425"/>
            </w:pPr>
            <w:r>
              <w:t>(iii</w:t>
            </w:r>
            <w:r w:rsidRPr="00041997">
              <w:t>)</w:t>
            </w:r>
            <w:r w:rsidRPr="00041997">
              <w:tab/>
              <w:t>glucose syrups, malto</w:t>
            </w:r>
            <w:r>
              <w:t>dextrin and similar products;</w:t>
            </w:r>
          </w:p>
          <w:p w14:paraId="4234CE90" w14:textId="06B6161A" w:rsidR="008C603C" w:rsidRPr="00041997" w:rsidRDefault="008C603C" w:rsidP="001A782D">
            <w:pPr>
              <w:pStyle w:val="Subparagraph"/>
              <w:spacing w:after="60"/>
              <w:ind w:left="1128" w:hanging="425"/>
            </w:pPr>
            <w:r>
              <w:t>(iv</w:t>
            </w:r>
            <w:r w:rsidRPr="00041997">
              <w:t>)</w:t>
            </w:r>
            <w:r w:rsidRPr="00041997">
              <w:tab/>
              <w:t xml:space="preserve">products derived at a sugar refinery, including brown </w:t>
            </w:r>
            <w:r>
              <w:t>sugar and molasses;</w:t>
            </w:r>
          </w:p>
          <w:p w14:paraId="7EE534A3" w14:textId="2FB94BE0" w:rsidR="008C603C" w:rsidRPr="00041997" w:rsidRDefault="008C603C" w:rsidP="001A782D">
            <w:pPr>
              <w:pStyle w:val="Subparagraph"/>
              <w:spacing w:after="60"/>
              <w:ind w:left="1128" w:hanging="425"/>
            </w:pPr>
            <w:r w:rsidRPr="00041997">
              <w:t>(</w:t>
            </w:r>
            <w:r>
              <w:t>v)</w:t>
            </w:r>
            <w:r>
              <w:tab/>
              <w:t>icing sugar;</w:t>
            </w:r>
          </w:p>
          <w:p w14:paraId="3A21589C" w14:textId="76052BC0" w:rsidR="008C603C" w:rsidRPr="00041997" w:rsidRDefault="008C603C" w:rsidP="001A782D">
            <w:pPr>
              <w:pStyle w:val="Subparagraph"/>
              <w:spacing w:after="60"/>
              <w:ind w:left="1128" w:hanging="425"/>
            </w:pPr>
            <w:r>
              <w:t>(vi)</w:t>
            </w:r>
            <w:r>
              <w:tab/>
              <w:t>invert sugar;</w:t>
            </w:r>
          </w:p>
          <w:p w14:paraId="2C513B34" w14:textId="77777777" w:rsidR="008C603C" w:rsidRPr="00041997" w:rsidRDefault="008C603C" w:rsidP="001A782D">
            <w:pPr>
              <w:pStyle w:val="Subparagraph"/>
              <w:spacing w:after="60"/>
              <w:ind w:left="1128" w:hanging="425"/>
            </w:pPr>
            <w:r w:rsidRPr="00041997">
              <w:t>(g)</w:t>
            </w:r>
            <w:r w:rsidRPr="00041997">
              <w:tab/>
              <w:t>fruit sugar syrup;</w:t>
            </w:r>
          </w:p>
          <w:p w14:paraId="4A84E80C" w14:textId="70BCC93A" w:rsidR="008C603C" w:rsidRPr="00041997" w:rsidRDefault="008C603C" w:rsidP="001A782D">
            <w:pPr>
              <w:pStyle w:val="Definition"/>
              <w:spacing w:after="60"/>
              <w:ind w:left="0" w:firstLine="0"/>
            </w:pPr>
            <w:r>
              <w:t>but does not include:</w:t>
            </w:r>
          </w:p>
          <w:p w14:paraId="54B2D773" w14:textId="28C247DB" w:rsidR="008C603C" w:rsidRPr="00041997" w:rsidRDefault="008C603C" w:rsidP="001A782D">
            <w:pPr>
              <w:pStyle w:val="Subparagraph"/>
              <w:spacing w:after="60"/>
              <w:ind w:left="1128" w:hanging="425"/>
            </w:pPr>
            <w:r>
              <w:t>(i</w:t>
            </w:r>
            <w:r w:rsidRPr="00041997">
              <w:t>)</w:t>
            </w:r>
            <w:r w:rsidRPr="00041997">
              <w:tab/>
              <w:t>malt or malt extracts;</w:t>
            </w:r>
          </w:p>
          <w:p w14:paraId="6C003D6D" w14:textId="666D07E0" w:rsidR="008C603C" w:rsidRPr="00041997" w:rsidRDefault="008C603C" w:rsidP="00B402AD">
            <w:pPr>
              <w:pStyle w:val="Subparagraph"/>
              <w:ind w:left="1129" w:hanging="426"/>
            </w:pPr>
            <w:r>
              <w:t>(ii</w:t>
            </w:r>
            <w:r w:rsidRPr="00041997">
              <w:t>)</w:t>
            </w:r>
            <w:r w:rsidRPr="00041997">
              <w:tab/>
              <w:t>sorbitol, mannitol, glycerol, xylitol, polydextrose, isomalt, maltitol, maltitol syrup or lactitol.</w:t>
            </w:r>
          </w:p>
          <w:p w14:paraId="36480AD4" w14:textId="77777777" w:rsidR="008C603C" w:rsidRDefault="008C603C" w:rsidP="00D24A66">
            <w:pPr>
              <w:rPr>
                <w:sz w:val="20"/>
                <w:szCs w:val="20"/>
              </w:rPr>
            </w:pPr>
          </w:p>
          <w:p w14:paraId="604178F4" w14:textId="28E7D1BE" w:rsidR="008C603C" w:rsidRPr="00041997" w:rsidRDefault="008C603C" w:rsidP="00C02FBC">
            <w:pPr>
              <w:spacing w:after="120"/>
              <w:rPr>
                <w:sz w:val="20"/>
                <w:szCs w:val="20"/>
              </w:rPr>
            </w:pPr>
            <w:r>
              <w:rPr>
                <w:sz w:val="20"/>
                <w:szCs w:val="20"/>
              </w:rPr>
              <w:t xml:space="preserve">Note: </w:t>
            </w:r>
            <w:r w:rsidR="00B40BDF">
              <w:rPr>
                <w:sz w:val="20"/>
                <w:szCs w:val="20"/>
              </w:rPr>
              <w:t>‘</w:t>
            </w:r>
            <w:r w:rsidRPr="00B40BDF">
              <w:rPr>
                <w:sz w:val="20"/>
                <w:szCs w:val="20"/>
              </w:rPr>
              <w:t>sugars*</w:t>
            </w:r>
            <w:r w:rsidR="00B40BDF">
              <w:rPr>
                <w:sz w:val="20"/>
                <w:szCs w:val="20"/>
              </w:rPr>
              <w:t>’</w:t>
            </w:r>
            <w:r>
              <w:rPr>
                <w:sz w:val="20"/>
                <w:szCs w:val="20"/>
              </w:rPr>
              <w:t xml:space="preserve"> is relevant for claims about no added sugar (as indicated in the row below)</w:t>
            </w:r>
          </w:p>
        </w:tc>
        <w:tc>
          <w:tcPr>
            <w:tcW w:w="2209" w:type="pct"/>
          </w:tcPr>
          <w:p w14:paraId="063C007C" w14:textId="412887E0" w:rsidR="008C603C" w:rsidRDefault="008C603C" w:rsidP="00D24A66">
            <w:pPr>
              <w:rPr>
                <w:sz w:val="20"/>
                <w:szCs w:val="20"/>
              </w:rPr>
            </w:pPr>
            <w:r>
              <w:rPr>
                <w:sz w:val="20"/>
                <w:szCs w:val="20"/>
              </w:rPr>
              <w:t>T</w:t>
            </w:r>
            <w:r w:rsidRPr="005F525F">
              <w:rPr>
                <w:sz w:val="20"/>
                <w:szCs w:val="20"/>
              </w:rPr>
              <w:t>he</w:t>
            </w:r>
            <w:r>
              <w:rPr>
                <w:sz w:val="20"/>
                <w:szCs w:val="20"/>
              </w:rPr>
              <w:t xml:space="preserve"> two </w:t>
            </w:r>
            <w:r w:rsidRPr="005F525F">
              <w:rPr>
                <w:sz w:val="20"/>
                <w:szCs w:val="20"/>
              </w:rPr>
              <w:t>defin</w:t>
            </w:r>
            <w:r>
              <w:rPr>
                <w:sz w:val="20"/>
                <w:szCs w:val="20"/>
              </w:rPr>
              <w:t>i</w:t>
            </w:r>
            <w:r w:rsidRPr="005F525F">
              <w:rPr>
                <w:sz w:val="20"/>
                <w:szCs w:val="20"/>
              </w:rPr>
              <w:t xml:space="preserve">tions for </w:t>
            </w:r>
            <w:r>
              <w:rPr>
                <w:sz w:val="20"/>
                <w:szCs w:val="20"/>
              </w:rPr>
              <w:t>‘</w:t>
            </w:r>
            <w:r w:rsidRPr="002D794A">
              <w:rPr>
                <w:sz w:val="20"/>
                <w:szCs w:val="20"/>
              </w:rPr>
              <w:t>sugars</w:t>
            </w:r>
            <w:r>
              <w:rPr>
                <w:sz w:val="20"/>
                <w:szCs w:val="20"/>
              </w:rPr>
              <w:t xml:space="preserve">’ would need to be taken into consideration should a regulatory change to implement Recommendation 12 be considered. Further discussion on these definitions in relation to the development of an ‘added sugars’ definition is discussed in </w:t>
            </w:r>
            <w:r w:rsidRPr="006D1F66">
              <w:rPr>
                <w:sz w:val="20"/>
                <w:szCs w:val="20"/>
              </w:rPr>
              <w:t xml:space="preserve">section </w:t>
            </w:r>
            <w:r w:rsidR="00264BE8" w:rsidRPr="006D1F66">
              <w:rPr>
                <w:sz w:val="20"/>
                <w:szCs w:val="20"/>
              </w:rPr>
              <w:t>2.3</w:t>
            </w:r>
            <w:r w:rsidRPr="006D1F66">
              <w:rPr>
                <w:sz w:val="20"/>
                <w:szCs w:val="20"/>
              </w:rPr>
              <w:t xml:space="preserve"> above.</w:t>
            </w:r>
            <w:r>
              <w:rPr>
                <w:sz w:val="20"/>
                <w:szCs w:val="20"/>
              </w:rPr>
              <w:t xml:space="preserve"> </w:t>
            </w:r>
          </w:p>
          <w:p w14:paraId="7AA9AA5C" w14:textId="77777777" w:rsidR="008C603C" w:rsidRDefault="008C603C" w:rsidP="00D24A66">
            <w:pPr>
              <w:rPr>
                <w:sz w:val="20"/>
                <w:szCs w:val="20"/>
              </w:rPr>
            </w:pPr>
          </w:p>
          <w:p w14:paraId="177773F4" w14:textId="77777777" w:rsidR="008C603C" w:rsidRDefault="008C603C" w:rsidP="005F525F">
            <w:pPr>
              <w:rPr>
                <w:b/>
                <w:sz w:val="20"/>
                <w:szCs w:val="20"/>
              </w:rPr>
            </w:pPr>
          </w:p>
          <w:p w14:paraId="4DD3B120" w14:textId="198DD135" w:rsidR="008C603C" w:rsidRPr="00465400" w:rsidRDefault="008C603C" w:rsidP="005F525F">
            <w:pPr>
              <w:rPr>
                <w:b/>
                <w:sz w:val="20"/>
                <w:szCs w:val="20"/>
              </w:rPr>
            </w:pPr>
          </w:p>
        </w:tc>
      </w:tr>
      <w:tr w:rsidR="008C603C" w14:paraId="4FFFDE52" w14:textId="77777777" w:rsidTr="006F35D7">
        <w:tc>
          <w:tcPr>
            <w:tcW w:w="581" w:type="pct"/>
          </w:tcPr>
          <w:p w14:paraId="5B69DB68" w14:textId="77777777" w:rsidR="008C603C" w:rsidRDefault="008C603C" w:rsidP="00B24C96">
            <w:pPr>
              <w:rPr>
                <w:sz w:val="20"/>
                <w:szCs w:val="20"/>
              </w:rPr>
            </w:pPr>
            <w:r>
              <w:rPr>
                <w:sz w:val="20"/>
                <w:szCs w:val="20"/>
              </w:rPr>
              <w:t>Schedule 4 – Nutrition, health and r</w:t>
            </w:r>
            <w:r w:rsidRPr="00041997">
              <w:rPr>
                <w:sz w:val="20"/>
                <w:szCs w:val="20"/>
              </w:rPr>
              <w:t xml:space="preserve">elated </w:t>
            </w:r>
            <w:r>
              <w:rPr>
                <w:sz w:val="20"/>
                <w:szCs w:val="20"/>
              </w:rPr>
              <w:t>c</w:t>
            </w:r>
            <w:r w:rsidRPr="00041997">
              <w:rPr>
                <w:sz w:val="20"/>
                <w:szCs w:val="20"/>
              </w:rPr>
              <w:t>laims</w:t>
            </w:r>
          </w:p>
          <w:p w14:paraId="0712F8C8" w14:textId="77777777" w:rsidR="00C02FBC" w:rsidRDefault="00C02FBC" w:rsidP="00B24C96">
            <w:pPr>
              <w:rPr>
                <w:sz w:val="20"/>
                <w:szCs w:val="20"/>
              </w:rPr>
            </w:pPr>
          </w:p>
          <w:p w14:paraId="2B1E7965" w14:textId="77777777" w:rsidR="00C02FBC" w:rsidRDefault="00C02FBC" w:rsidP="00B24C96">
            <w:pPr>
              <w:rPr>
                <w:sz w:val="20"/>
                <w:szCs w:val="20"/>
              </w:rPr>
            </w:pPr>
          </w:p>
          <w:p w14:paraId="396C48D1" w14:textId="46C48363" w:rsidR="00C02FBC" w:rsidRDefault="00C02FBC" w:rsidP="00B24C96">
            <w:pPr>
              <w:rPr>
                <w:sz w:val="20"/>
                <w:szCs w:val="20"/>
              </w:rPr>
            </w:pPr>
            <w:r>
              <w:rPr>
                <w:sz w:val="20"/>
                <w:szCs w:val="20"/>
              </w:rPr>
              <w:lastRenderedPageBreak/>
              <w:t>Schedule 4 – Nutrition, health and r</w:t>
            </w:r>
            <w:r w:rsidRPr="00041997">
              <w:rPr>
                <w:sz w:val="20"/>
                <w:szCs w:val="20"/>
              </w:rPr>
              <w:t xml:space="preserve">elated </w:t>
            </w:r>
            <w:r>
              <w:rPr>
                <w:sz w:val="20"/>
                <w:szCs w:val="20"/>
              </w:rPr>
              <w:t>c</w:t>
            </w:r>
            <w:r w:rsidRPr="00041997">
              <w:rPr>
                <w:sz w:val="20"/>
                <w:szCs w:val="20"/>
              </w:rPr>
              <w:t>laims</w:t>
            </w:r>
            <w:r>
              <w:rPr>
                <w:sz w:val="20"/>
                <w:szCs w:val="20"/>
              </w:rPr>
              <w:t xml:space="preserve"> (continued)</w:t>
            </w:r>
          </w:p>
          <w:p w14:paraId="6ADA9FD5" w14:textId="4B23D9ED" w:rsidR="00C02FBC" w:rsidRPr="00041997" w:rsidRDefault="00C02FBC" w:rsidP="00B24C96">
            <w:pPr>
              <w:rPr>
                <w:sz w:val="20"/>
                <w:szCs w:val="20"/>
              </w:rPr>
            </w:pPr>
          </w:p>
        </w:tc>
        <w:tc>
          <w:tcPr>
            <w:tcW w:w="2210" w:type="pct"/>
          </w:tcPr>
          <w:p w14:paraId="782E13B5" w14:textId="01D257F8" w:rsidR="008C603C" w:rsidRPr="004B463E" w:rsidRDefault="008C603C" w:rsidP="003333CB">
            <w:pPr>
              <w:rPr>
                <w:b/>
                <w:sz w:val="20"/>
                <w:szCs w:val="20"/>
              </w:rPr>
            </w:pPr>
            <w:r>
              <w:rPr>
                <w:b/>
                <w:sz w:val="20"/>
                <w:szCs w:val="20"/>
              </w:rPr>
              <w:lastRenderedPageBreak/>
              <w:t>Conditions for n</w:t>
            </w:r>
            <w:r w:rsidRPr="002C0E01">
              <w:rPr>
                <w:b/>
                <w:sz w:val="20"/>
                <w:szCs w:val="20"/>
              </w:rPr>
              <w:t>utrition content claim</w:t>
            </w:r>
            <w:r>
              <w:rPr>
                <w:b/>
                <w:sz w:val="20"/>
                <w:szCs w:val="20"/>
              </w:rPr>
              <w:t xml:space="preserve">s about sugar or sugars </w:t>
            </w:r>
            <w:r>
              <w:rPr>
                <w:sz w:val="20"/>
                <w:szCs w:val="20"/>
              </w:rPr>
              <w:t>(S4</w:t>
            </w:r>
            <w:r w:rsidRPr="009C184D">
              <w:rPr>
                <w:rFonts w:cs="Arial"/>
                <w:sz w:val="20"/>
                <w:szCs w:val="20"/>
              </w:rPr>
              <w:t>―</w:t>
            </w:r>
            <w:r>
              <w:rPr>
                <w:rFonts w:cs="Arial"/>
                <w:sz w:val="20"/>
                <w:szCs w:val="20"/>
              </w:rPr>
              <w:t>3)</w:t>
            </w:r>
          </w:p>
          <w:p w14:paraId="43A12D02" w14:textId="0CD6D13D" w:rsidR="008C603C" w:rsidRPr="00F32CC6" w:rsidRDefault="008C603C" w:rsidP="001E139C">
            <w:pPr>
              <w:spacing w:before="120" w:after="120"/>
              <w:rPr>
                <w:sz w:val="20"/>
                <w:szCs w:val="20"/>
              </w:rPr>
            </w:pPr>
            <w:r>
              <w:rPr>
                <w:b/>
                <w:i/>
                <w:sz w:val="20"/>
                <w:szCs w:val="20"/>
              </w:rPr>
              <w:t>Conditions for a ‘n</w:t>
            </w:r>
            <w:r w:rsidRPr="002C0E01">
              <w:rPr>
                <w:b/>
                <w:i/>
                <w:sz w:val="20"/>
                <w:szCs w:val="20"/>
              </w:rPr>
              <w:t>o added</w:t>
            </w:r>
            <w:r>
              <w:rPr>
                <w:b/>
                <w:i/>
                <w:sz w:val="20"/>
                <w:szCs w:val="20"/>
              </w:rPr>
              <w:t xml:space="preserve"> sugar(s)’ claim</w:t>
            </w:r>
          </w:p>
          <w:p w14:paraId="19488C02" w14:textId="3D0BCC89" w:rsidR="008C603C" w:rsidRPr="00041997" w:rsidRDefault="008C603C" w:rsidP="002A0BB1">
            <w:pPr>
              <w:spacing w:after="60"/>
              <w:ind w:left="602" w:hanging="284"/>
              <w:rPr>
                <w:bCs/>
                <w:sz w:val="20"/>
                <w:szCs w:val="20"/>
                <w:lang w:eastAsia="en-AU"/>
              </w:rPr>
            </w:pPr>
            <w:r w:rsidRPr="00041997">
              <w:rPr>
                <w:bCs/>
                <w:sz w:val="20"/>
                <w:szCs w:val="20"/>
                <w:lang w:eastAsia="en-AU"/>
              </w:rPr>
              <w:t>(a)</w:t>
            </w:r>
            <w:r w:rsidRPr="00041997">
              <w:rPr>
                <w:bCs/>
                <w:sz w:val="20"/>
                <w:szCs w:val="20"/>
                <w:lang w:eastAsia="en-AU"/>
              </w:rPr>
              <w:tab/>
              <w:t xml:space="preserve">the food contains no added </w:t>
            </w:r>
            <w:r w:rsidRPr="00135248">
              <w:rPr>
                <w:bCs/>
                <w:sz w:val="20"/>
                <w:szCs w:val="20"/>
                <w:lang w:eastAsia="en-AU"/>
              </w:rPr>
              <w:t>sugars*</w:t>
            </w:r>
            <w:r>
              <w:rPr>
                <w:bCs/>
                <w:sz w:val="20"/>
                <w:szCs w:val="20"/>
                <w:lang w:eastAsia="en-AU"/>
              </w:rPr>
              <w:t xml:space="preserve"> (</w:t>
            </w:r>
            <w:r w:rsidR="00135248">
              <w:rPr>
                <w:bCs/>
                <w:sz w:val="20"/>
                <w:szCs w:val="20"/>
                <w:lang w:eastAsia="en-AU"/>
              </w:rPr>
              <w:t xml:space="preserve">sugars* </w:t>
            </w:r>
            <w:r w:rsidR="00B40BDF">
              <w:rPr>
                <w:bCs/>
                <w:sz w:val="20"/>
                <w:szCs w:val="20"/>
                <w:lang w:eastAsia="en-AU"/>
              </w:rPr>
              <w:t xml:space="preserve">as </w:t>
            </w:r>
            <w:r>
              <w:rPr>
                <w:bCs/>
                <w:sz w:val="20"/>
                <w:szCs w:val="20"/>
                <w:lang w:eastAsia="en-AU"/>
              </w:rPr>
              <w:t xml:space="preserve">defined in Standard </w:t>
            </w:r>
            <w:r w:rsidR="00785ED4">
              <w:rPr>
                <w:bCs/>
                <w:sz w:val="20"/>
                <w:szCs w:val="20"/>
                <w:lang w:eastAsia="en-AU"/>
              </w:rPr>
              <w:t>1.1.2 a</w:t>
            </w:r>
            <w:r w:rsidR="00B40BDF">
              <w:rPr>
                <w:bCs/>
                <w:sz w:val="20"/>
                <w:szCs w:val="20"/>
                <w:lang w:eastAsia="en-AU"/>
              </w:rPr>
              <w:t>s</w:t>
            </w:r>
            <w:r>
              <w:rPr>
                <w:bCs/>
                <w:sz w:val="20"/>
                <w:szCs w:val="20"/>
                <w:lang w:eastAsia="en-AU"/>
              </w:rPr>
              <w:t xml:space="preserve"> identified in the above row)</w:t>
            </w:r>
            <w:r w:rsidRPr="00041997">
              <w:rPr>
                <w:bCs/>
                <w:sz w:val="20"/>
                <w:szCs w:val="20"/>
                <w:lang w:eastAsia="en-AU"/>
              </w:rPr>
              <w:t xml:space="preserve">, honey, malt, or </w:t>
            </w:r>
            <w:r w:rsidRPr="00041997">
              <w:rPr>
                <w:bCs/>
                <w:sz w:val="20"/>
                <w:szCs w:val="20"/>
                <w:lang w:eastAsia="en-AU"/>
              </w:rPr>
              <w:lastRenderedPageBreak/>
              <w:t>malt extracts; and</w:t>
            </w:r>
          </w:p>
          <w:p w14:paraId="518CB965" w14:textId="77777777" w:rsidR="008C603C" w:rsidRDefault="008C603C" w:rsidP="003623F4">
            <w:pPr>
              <w:ind w:left="601" w:hanging="284"/>
              <w:rPr>
                <w:bCs/>
                <w:sz w:val="20"/>
                <w:szCs w:val="20"/>
                <w:lang w:eastAsia="en-AU"/>
              </w:rPr>
            </w:pPr>
            <w:r w:rsidRPr="00041997">
              <w:rPr>
                <w:bCs/>
                <w:sz w:val="20"/>
                <w:szCs w:val="20"/>
                <w:lang w:eastAsia="en-AU"/>
              </w:rPr>
              <w:t>(b)</w:t>
            </w:r>
            <w:r w:rsidRPr="00041997">
              <w:rPr>
                <w:bCs/>
                <w:sz w:val="20"/>
                <w:szCs w:val="20"/>
                <w:lang w:eastAsia="en-AU"/>
              </w:rPr>
              <w:tab/>
              <w:t xml:space="preserve">the food contains no added concentrated fruit juice or deionised fruit juice, unless the food is </w:t>
            </w:r>
            <w:r>
              <w:rPr>
                <w:bCs/>
                <w:sz w:val="20"/>
                <w:szCs w:val="20"/>
                <w:lang w:eastAsia="en-AU"/>
              </w:rPr>
              <w:t xml:space="preserve">any of the following: </w:t>
            </w:r>
          </w:p>
          <w:p w14:paraId="0F2FD9E2" w14:textId="129F5B73" w:rsidR="008C603C" w:rsidRPr="00041997" w:rsidRDefault="008C603C" w:rsidP="00A67456">
            <w:pPr>
              <w:ind w:left="601" w:hanging="39"/>
              <w:rPr>
                <w:bCs/>
                <w:sz w:val="20"/>
                <w:szCs w:val="20"/>
                <w:lang w:eastAsia="en-AU"/>
              </w:rPr>
            </w:pPr>
            <w:r>
              <w:rPr>
                <w:bCs/>
                <w:sz w:val="20"/>
                <w:szCs w:val="20"/>
                <w:lang w:eastAsia="en-AU"/>
              </w:rPr>
              <w:t xml:space="preserve"> a brewed soft drink, an electrolyte drink, an electrolyte drink base, juice blend, a formulated beverage, fruit juice, fruit drink, vegetable juice, mineral water or spring water, a non-alcoholic beverage.</w:t>
            </w:r>
          </w:p>
          <w:p w14:paraId="39C66C93" w14:textId="46CECD88" w:rsidR="008C603C" w:rsidRPr="00F32CC6" w:rsidRDefault="008C603C" w:rsidP="00C02FBC">
            <w:pPr>
              <w:spacing w:before="120" w:after="120"/>
              <w:rPr>
                <w:sz w:val="20"/>
                <w:szCs w:val="20"/>
              </w:rPr>
            </w:pPr>
            <w:r>
              <w:rPr>
                <w:b/>
                <w:i/>
                <w:sz w:val="20"/>
                <w:szCs w:val="20"/>
              </w:rPr>
              <w:t>Conditions for a ‘u</w:t>
            </w:r>
            <w:r w:rsidRPr="002C0E01">
              <w:rPr>
                <w:b/>
                <w:i/>
                <w:sz w:val="20"/>
                <w:szCs w:val="20"/>
              </w:rPr>
              <w:t>nsweetened</w:t>
            </w:r>
            <w:r>
              <w:rPr>
                <w:b/>
                <w:i/>
                <w:sz w:val="20"/>
                <w:szCs w:val="20"/>
              </w:rPr>
              <w:t>’</w:t>
            </w:r>
            <w:r w:rsidRPr="002C0E01">
              <w:rPr>
                <w:b/>
                <w:i/>
                <w:sz w:val="20"/>
                <w:szCs w:val="20"/>
              </w:rPr>
              <w:t xml:space="preserve"> claim</w:t>
            </w:r>
            <w:r w:rsidRPr="00F32CC6">
              <w:rPr>
                <w:sz w:val="20"/>
                <w:szCs w:val="20"/>
              </w:rPr>
              <w:t xml:space="preserve"> </w:t>
            </w:r>
          </w:p>
          <w:p w14:paraId="0C400318" w14:textId="77777777" w:rsidR="008C603C" w:rsidRPr="00041997" w:rsidRDefault="008C603C" w:rsidP="002A0BB1">
            <w:pPr>
              <w:spacing w:after="60"/>
              <w:ind w:left="602" w:hanging="284"/>
              <w:rPr>
                <w:bCs/>
                <w:sz w:val="20"/>
                <w:szCs w:val="20"/>
                <w:lang w:eastAsia="en-AU"/>
              </w:rPr>
            </w:pPr>
            <w:r w:rsidRPr="00041997">
              <w:rPr>
                <w:bCs/>
                <w:sz w:val="20"/>
                <w:szCs w:val="20"/>
                <w:lang w:eastAsia="en-AU"/>
              </w:rPr>
              <w:t>(a)</w:t>
            </w:r>
            <w:r w:rsidRPr="00041997">
              <w:rPr>
                <w:bCs/>
                <w:sz w:val="20"/>
                <w:szCs w:val="20"/>
                <w:lang w:eastAsia="en-AU"/>
              </w:rPr>
              <w:tab/>
              <w:t>the food meets the conditions for a nutrition content claim about no added sugar; and</w:t>
            </w:r>
          </w:p>
          <w:p w14:paraId="0EC37255" w14:textId="77777777" w:rsidR="008C603C" w:rsidRDefault="008C603C" w:rsidP="003623F4">
            <w:pPr>
              <w:ind w:left="601" w:hanging="284"/>
              <w:rPr>
                <w:bCs/>
                <w:sz w:val="20"/>
                <w:szCs w:val="20"/>
                <w:lang w:eastAsia="en-AU"/>
              </w:rPr>
            </w:pPr>
            <w:r w:rsidRPr="00041997">
              <w:rPr>
                <w:bCs/>
                <w:sz w:val="20"/>
                <w:szCs w:val="20"/>
                <w:lang w:eastAsia="en-AU"/>
              </w:rPr>
              <w:t>(b)</w:t>
            </w:r>
            <w:r w:rsidRPr="00041997">
              <w:rPr>
                <w:bCs/>
                <w:sz w:val="20"/>
                <w:szCs w:val="20"/>
                <w:lang w:eastAsia="en-AU"/>
              </w:rPr>
              <w:tab/>
              <w:t>the food contains no intense sweeteners, sorbitol, mannitol, glycerol, xylitol, isomalt, maltitol syrup or lactitol.</w:t>
            </w:r>
          </w:p>
          <w:p w14:paraId="4B86C443" w14:textId="75180989" w:rsidR="008C603C" w:rsidRPr="00372041" w:rsidRDefault="008C603C" w:rsidP="00C02FBC">
            <w:pPr>
              <w:spacing w:before="120" w:after="120"/>
              <w:rPr>
                <w:b/>
                <w:bCs/>
                <w:i/>
                <w:sz w:val="20"/>
                <w:szCs w:val="20"/>
                <w:lang w:eastAsia="en-AU"/>
              </w:rPr>
            </w:pPr>
            <w:r w:rsidRPr="00372041">
              <w:rPr>
                <w:b/>
                <w:bCs/>
                <w:i/>
                <w:sz w:val="20"/>
                <w:szCs w:val="20"/>
                <w:lang w:eastAsia="en-AU"/>
              </w:rPr>
              <w:t>Conditions for a ‘low’ claim</w:t>
            </w:r>
          </w:p>
          <w:p w14:paraId="1BA2366E" w14:textId="61606300" w:rsidR="008C603C" w:rsidRDefault="008C603C" w:rsidP="002A0BB1">
            <w:pPr>
              <w:spacing w:after="60"/>
              <w:ind w:left="278"/>
              <w:rPr>
                <w:sz w:val="20"/>
                <w:szCs w:val="20"/>
              </w:rPr>
            </w:pPr>
            <w:r>
              <w:rPr>
                <w:sz w:val="20"/>
                <w:szCs w:val="20"/>
              </w:rPr>
              <w:t xml:space="preserve">The food contains </w:t>
            </w:r>
            <w:r w:rsidR="00785ED4">
              <w:rPr>
                <w:sz w:val="20"/>
                <w:szCs w:val="20"/>
              </w:rPr>
              <w:t xml:space="preserve">no more sugars (for this claim </w:t>
            </w:r>
            <w:r w:rsidR="00B40BDF">
              <w:rPr>
                <w:sz w:val="20"/>
                <w:szCs w:val="20"/>
              </w:rPr>
              <w:t>‘</w:t>
            </w:r>
            <w:r w:rsidRPr="00B40BDF">
              <w:rPr>
                <w:sz w:val="20"/>
                <w:szCs w:val="20"/>
              </w:rPr>
              <w:t>sugars</w:t>
            </w:r>
            <w:r w:rsidR="00B40BDF">
              <w:rPr>
                <w:sz w:val="20"/>
                <w:szCs w:val="20"/>
              </w:rPr>
              <w:t>’</w:t>
            </w:r>
            <w:r w:rsidRPr="00B40BDF">
              <w:rPr>
                <w:sz w:val="20"/>
                <w:szCs w:val="20"/>
              </w:rPr>
              <w:t xml:space="preserve"> </w:t>
            </w:r>
            <w:r>
              <w:rPr>
                <w:sz w:val="20"/>
                <w:szCs w:val="20"/>
              </w:rPr>
              <w:t>means monosaccharides and disaccharides) than:</w:t>
            </w:r>
          </w:p>
          <w:p w14:paraId="62FB31C9" w14:textId="35D1F506" w:rsidR="008C603C" w:rsidRDefault="008C603C" w:rsidP="002A0BB1">
            <w:pPr>
              <w:pStyle w:val="ListParagraph"/>
              <w:numPr>
                <w:ilvl w:val="0"/>
                <w:numId w:val="12"/>
              </w:numPr>
              <w:spacing w:after="60"/>
              <w:ind w:left="675" w:hanging="357"/>
              <w:contextualSpacing w:val="0"/>
              <w:rPr>
                <w:sz w:val="20"/>
                <w:szCs w:val="20"/>
              </w:rPr>
            </w:pPr>
            <w:r>
              <w:rPr>
                <w:sz w:val="20"/>
                <w:szCs w:val="20"/>
              </w:rPr>
              <w:t>2.5 g/100 ml for liquid food; or</w:t>
            </w:r>
          </w:p>
          <w:p w14:paraId="05114E56" w14:textId="32F16A3A" w:rsidR="008C603C" w:rsidRPr="008C603C" w:rsidRDefault="008C603C" w:rsidP="003E1314">
            <w:pPr>
              <w:pStyle w:val="ListParagraph"/>
              <w:numPr>
                <w:ilvl w:val="0"/>
                <w:numId w:val="12"/>
              </w:numPr>
              <w:rPr>
                <w:sz w:val="20"/>
                <w:szCs w:val="20"/>
              </w:rPr>
            </w:pPr>
            <w:r w:rsidRPr="008C603C">
              <w:rPr>
                <w:sz w:val="20"/>
                <w:szCs w:val="20"/>
              </w:rPr>
              <w:t xml:space="preserve">5 g/100 g for solid food. </w:t>
            </w:r>
          </w:p>
          <w:p w14:paraId="7B05ECB5" w14:textId="7D5F02E1" w:rsidR="008C603C" w:rsidRPr="00827BFC" w:rsidRDefault="008C603C" w:rsidP="003E1314">
            <w:pPr>
              <w:rPr>
                <w:sz w:val="20"/>
                <w:szCs w:val="20"/>
              </w:rPr>
            </w:pPr>
          </w:p>
        </w:tc>
        <w:tc>
          <w:tcPr>
            <w:tcW w:w="2209" w:type="pct"/>
          </w:tcPr>
          <w:p w14:paraId="3DDF8AEC" w14:textId="6CE363BE" w:rsidR="008C603C" w:rsidRPr="006D1F66" w:rsidRDefault="008C603C" w:rsidP="009D5E15">
            <w:pPr>
              <w:rPr>
                <w:sz w:val="20"/>
                <w:szCs w:val="20"/>
              </w:rPr>
            </w:pPr>
            <w:r>
              <w:rPr>
                <w:sz w:val="20"/>
                <w:szCs w:val="20"/>
              </w:rPr>
              <w:lastRenderedPageBreak/>
              <w:t xml:space="preserve">‘No added’ claim: As discussed </w:t>
            </w:r>
            <w:r w:rsidRPr="006D1F66">
              <w:rPr>
                <w:sz w:val="20"/>
                <w:szCs w:val="20"/>
              </w:rPr>
              <w:t xml:space="preserve">in section </w:t>
            </w:r>
            <w:r w:rsidR="00264BE8" w:rsidRPr="006D1F66">
              <w:rPr>
                <w:sz w:val="20"/>
                <w:szCs w:val="20"/>
              </w:rPr>
              <w:t>2.3</w:t>
            </w:r>
            <w:r w:rsidRPr="006D1F66">
              <w:rPr>
                <w:sz w:val="20"/>
                <w:szCs w:val="20"/>
              </w:rPr>
              <w:t>.1, the conditions for a ‘no added sugar(s)’ nutrition content claim would need to be taken into consideration when determining an ‘added sugars’</w:t>
            </w:r>
            <w:r w:rsidRPr="006D1F66">
              <w:rPr>
                <w:i/>
                <w:sz w:val="20"/>
                <w:szCs w:val="20"/>
              </w:rPr>
              <w:t xml:space="preserve"> </w:t>
            </w:r>
            <w:r w:rsidRPr="006D1F66">
              <w:rPr>
                <w:sz w:val="20"/>
                <w:szCs w:val="20"/>
              </w:rPr>
              <w:t>definition for ingredient labelling purposes.</w:t>
            </w:r>
          </w:p>
          <w:p w14:paraId="6DF04FD2" w14:textId="612A9948" w:rsidR="008C603C" w:rsidRDefault="008C603C" w:rsidP="009D5E15">
            <w:pPr>
              <w:rPr>
                <w:sz w:val="20"/>
                <w:szCs w:val="20"/>
              </w:rPr>
            </w:pPr>
          </w:p>
          <w:p w14:paraId="557A651C" w14:textId="77777777" w:rsidR="00C02FBC" w:rsidRPr="006D1F66" w:rsidRDefault="00C02FBC" w:rsidP="009D5E15">
            <w:pPr>
              <w:rPr>
                <w:sz w:val="20"/>
                <w:szCs w:val="20"/>
              </w:rPr>
            </w:pPr>
          </w:p>
          <w:p w14:paraId="59710DC8" w14:textId="208AA24A" w:rsidR="008C603C" w:rsidRDefault="008C603C" w:rsidP="009D5E15">
            <w:pPr>
              <w:rPr>
                <w:sz w:val="20"/>
                <w:szCs w:val="20"/>
              </w:rPr>
            </w:pPr>
            <w:r w:rsidRPr="006D1F66">
              <w:rPr>
                <w:sz w:val="20"/>
                <w:szCs w:val="20"/>
              </w:rPr>
              <w:lastRenderedPageBreak/>
              <w:t>‘Unsweetened’ claim: These claim conditions refer to the conditions for a ‘no added sugar(s)’ claim. As such, should the ‘no added’ claim conditions be im</w:t>
            </w:r>
            <w:r w:rsidR="00264BE8" w:rsidRPr="006D1F66">
              <w:rPr>
                <w:sz w:val="20"/>
                <w:szCs w:val="20"/>
              </w:rPr>
              <w:t>pacted by Recommendation 12, any</w:t>
            </w:r>
            <w:r w:rsidRPr="006D1F66">
              <w:rPr>
                <w:sz w:val="20"/>
                <w:szCs w:val="20"/>
              </w:rPr>
              <w:t xml:space="preserve"> impacts on the ‘unsweetened’ claim conditions would also need to be considered. Similar to the discussion relating to the ‘no added sugar(s)’ claims in section </w:t>
            </w:r>
            <w:r w:rsidR="00264BE8" w:rsidRPr="006D1F66">
              <w:rPr>
                <w:sz w:val="20"/>
                <w:szCs w:val="20"/>
              </w:rPr>
              <w:t>2.3</w:t>
            </w:r>
            <w:r w:rsidRPr="006D1F66">
              <w:rPr>
                <w:sz w:val="20"/>
                <w:szCs w:val="20"/>
              </w:rPr>
              <w:t>.1, the possibility and implications of having both an ‘unsweetened’ claim on a label along with ‘added sugars’ listed in the statement of ingredients</w:t>
            </w:r>
            <w:r>
              <w:rPr>
                <w:sz w:val="20"/>
                <w:szCs w:val="20"/>
              </w:rPr>
              <w:t xml:space="preserve"> would need to be considered. </w:t>
            </w:r>
          </w:p>
          <w:p w14:paraId="315D64FA" w14:textId="77777777" w:rsidR="008C603C" w:rsidRDefault="008C603C" w:rsidP="00BB6240">
            <w:pPr>
              <w:rPr>
                <w:sz w:val="20"/>
                <w:szCs w:val="20"/>
              </w:rPr>
            </w:pPr>
          </w:p>
          <w:p w14:paraId="04D73B05" w14:textId="03337811" w:rsidR="008C603C" w:rsidRPr="00CA4A12" w:rsidRDefault="008C603C" w:rsidP="00172298">
            <w:pPr>
              <w:rPr>
                <w:sz w:val="20"/>
                <w:szCs w:val="20"/>
              </w:rPr>
            </w:pPr>
            <w:r>
              <w:rPr>
                <w:sz w:val="20"/>
                <w:szCs w:val="20"/>
              </w:rPr>
              <w:t>‘Low' claim: The conditions for this claim are based on ‘sugars’ being monosaccharides and disaccharides. Subject to the definition developed for ‘</w:t>
            </w:r>
            <w:r w:rsidRPr="00F31CE0">
              <w:rPr>
                <w:sz w:val="20"/>
                <w:szCs w:val="20"/>
              </w:rPr>
              <w:t>added sugars</w:t>
            </w:r>
            <w:r>
              <w:rPr>
                <w:sz w:val="20"/>
                <w:szCs w:val="20"/>
              </w:rPr>
              <w:t>’ for ingredient labelling, it could be possible to have a number of ‘</w:t>
            </w:r>
            <w:r w:rsidRPr="000A64FE">
              <w:rPr>
                <w:sz w:val="20"/>
                <w:szCs w:val="20"/>
              </w:rPr>
              <w:t>added sugars</w:t>
            </w:r>
            <w:r>
              <w:rPr>
                <w:sz w:val="20"/>
                <w:szCs w:val="20"/>
              </w:rPr>
              <w:t>’ declared in the bracketed list in the statement of ingredients, along with a ‘</w:t>
            </w:r>
            <w:r w:rsidRPr="000A64FE">
              <w:rPr>
                <w:sz w:val="20"/>
                <w:szCs w:val="20"/>
              </w:rPr>
              <w:t xml:space="preserve">low </w:t>
            </w:r>
            <w:r>
              <w:rPr>
                <w:sz w:val="20"/>
                <w:szCs w:val="20"/>
              </w:rPr>
              <w:t>sugar’ claim on the food label. The possibility and implications of this occurring would need to be considered.</w:t>
            </w:r>
          </w:p>
        </w:tc>
      </w:tr>
      <w:tr w:rsidR="006F35D7" w14:paraId="5D9619FB" w14:textId="77777777" w:rsidTr="006F35D7">
        <w:tc>
          <w:tcPr>
            <w:tcW w:w="581" w:type="pct"/>
            <w:vMerge w:val="restart"/>
          </w:tcPr>
          <w:p w14:paraId="1F1DE427" w14:textId="77777777" w:rsidR="006F35D7" w:rsidRDefault="006F35D7" w:rsidP="00856250">
            <w:pPr>
              <w:rPr>
                <w:sz w:val="20"/>
                <w:szCs w:val="20"/>
              </w:rPr>
            </w:pPr>
            <w:r w:rsidRPr="00041997">
              <w:rPr>
                <w:sz w:val="20"/>
                <w:szCs w:val="20"/>
              </w:rPr>
              <w:lastRenderedPageBreak/>
              <w:t xml:space="preserve">Standard 1.2.8 – Nutrition </w:t>
            </w:r>
            <w:r>
              <w:rPr>
                <w:sz w:val="20"/>
                <w:szCs w:val="20"/>
              </w:rPr>
              <w:t>i</w:t>
            </w:r>
            <w:r w:rsidRPr="00041997">
              <w:rPr>
                <w:sz w:val="20"/>
                <w:szCs w:val="20"/>
              </w:rPr>
              <w:t xml:space="preserve">nformation </w:t>
            </w:r>
            <w:r>
              <w:rPr>
                <w:sz w:val="20"/>
                <w:szCs w:val="20"/>
              </w:rPr>
              <w:t>requirements</w:t>
            </w:r>
          </w:p>
          <w:p w14:paraId="62899E2E" w14:textId="570E4630" w:rsidR="006D1F66" w:rsidRDefault="006D1F66" w:rsidP="00856250">
            <w:pPr>
              <w:rPr>
                <w:sz w:val="20"/>
                <w:szCs w:val="20"/>
              </w:rPr>
            </w:pPr>
          </w:p>
          <w:p w14:paraId="5D3D9F53" w14:textId="77777777" w:rsidR="006D1F66" w:rsidRDefault="006D1F66" w:rsidP="006D1F66">
            <w:pPr>
              <w:rPr>
                <w:sz w:val="20"/>
                <w:szCs w:val="20"/>
              </w:rPr>
            </w:pPr>
          </w:p>
          <w:p w14:paraId="201627F8" w14:textId="77777777" w:rsidR="006D1F66" w:rsidRDefault="006D1F66" w:rsidP="006D1F66">
            <w:pPr>
              <w:rPr>
                <w:sz w:val="20"/>
                <w:szCs w:val="20"/>
              </w:rPr>
            </w:pPr>
          </w:p>
          <w:p w14:paraId="7BF1357E" w14:textId="77777777" w:rsidR="00C02FBC" w:rsidRDefault="00C02FBC" w:rsidP="006D1F66">
            <w:pPr>
              <w:rPr>
                <w:sz w:val="20"/>
                <w:szCs w:val="20"/>
              </w:rPr>
            </w:pPr>
          </w:p>
          <w:p w14:paraId="570A246C" w14:textId="77777777" w:rsidR="00C02FBC" w:rsidRDefault="00C02FBC" w:rsidP="006D1F66">
            <w:pPr>
              <w:rPr>
                <w:sz w:val="20"/>
                <w:szCs w:val="20"/>
              </w:rPr>
            </w:pPr>
          </w:p>
          <w:p w14:paraId="72769F57" w14:textId="77777777" w:rsidR="00C02FBC" w:rsidRDefault="00C02FBC" w:rsidP="006D1F66">
            <w:pPr>
              <w:rPr>
                <w:sz w:val="20"/>
                <w:szCs w:val="20"/>
              </w:rPr>
            </w:pPr>
          </w:p>
          <w:p w14:paraId="4BCBC3BE" w14:textId="77777777" w:rsidR="00C02FBC" w:rsidRDefault="00C02FBC" w:rsidP="006D1F66">
            <w:pPr>
              <w:rPr>
                <w:sz w:val="20"/>
                <w:szCs w:val="20"/>
              </w:rPr>
            </w:pPr>
          </w:p>
          <w:p w14:paraId="63212285" w14:textId="77777777" w:rsidR="00C02FBC" w:rsidRDefault="00C02FBC" w:rsidP="006D1F66">
            <w:pPr>
              <w:rPr>
                <w:sz w:val="20"/>
                <w:szCs w:val="20"/>
              </w:rPr>
            </w:pPr>
          </w:p>
          <w:p w14:paraId="093621A2" w14:textId="77777777" w:rsidR="00C02FBC" w:rsidRDefault="00C02FBC" w:rsidP="006D1F66">
            <w:pPr>
              <w:rPr>
                <w:sz w:val="20"/>
                <w:szCs w:val="20"/>
              </w:rPr>
            </w:pPr>
          </w:p>
          <w:p w14:paraId="7CB50B1B" w14:textId="77777777" w:rsidR="00C02FBC" w:rsidRDefault="00C02FBC" w:rsidP="006D1F66">
            <w:pPr>
              <w:rPr>
                <w:sz w:val="20"/>
                <w:szCs w:val="20"/>
              </w:rPr>
            </w:pPr>
          </w:p>
          <w:p w14:paraId="4878010C" w14:textId="77777777" w:rsidR="00C02FBC" w:rsidRDefault="00C02FBC" w:rsidP="006D1F66">
            <w:pPr>
              <w:rPr>
                <w:sz w:val="20"/>
                <w:szCs w:val="20"/>
              </w:rPr>
            </w:pPr>
          </w:p>
          <w:p w14:paraId="329F5137" w14:textId="3B241641" w:rsidR="006D1F66" w:rsidRPr="00041997" w:rsidRDefault="006D1F66" w:rsidP="006D1F66">
            <w:pPr>
              <w:rPr>
                <w:sz w:val="20"/>
                <w:szCs w:val="20"/>
              </w:rPr>
            </w:pPr>
            <w:r w:rsidRPr="00041997">
              <w:rPr>
                <w:sz w:val="20"/>
                <w:szCs w:val="20"/>
              </w:rPr>
              <w:lastRenderedPageBreak/>
              <w:t xml:space="preserve">Standard 1.2.8 – Nutrition </w:t>
            </w:r>
            <w:r>
              <w:rPr>
                <w:sz w:val="20"/>
                <w:szCs w:val="20"/>
              </w:rPr>
              <w:t>i</w:t>
            </w:r>
            <w:r w:rsidRPr="00041997">
              <w:rPr>
                <w:sz w:val="20"/>
                <w:szCs w:val="20"/>
              </w:rPr>
              <w:t xml:space="preserve">nformation </w:t>
            </w:r>
            <w:r>
              <w:rPr>
                <w:sz w:val="20"/>
                <w:szCs w:val="20"/>
              </w:rPr>
              <w:t>requirements</w:t>
            </w:r>
          </w:p>
          <w:p w14:paraId="5D350BB0" w14:textId="24FB717D" w:rsidR="006D1F66" w:rsidRPr="00041997" w:rsidRDefault="006D1F66" w:rsidP="00856250">
            <w:pPr>
              <w:rPr>
                <w:sz w:val="20"/>
                <w:szCs w:val="20"/>
              </w:rPr>
            </w:pPr>
            <w:r>
              <w:rPr>
                <w:sz w:val="20"/>
                <w:szCs w:val="20"/>
              </w:rPr>
              <w:t>(continued)</w:t>
            </w:r>
          </w:p>
          <w:p w14:paraId="75AFC499" w14:textId="77777777" w:rsidR="006F35D7" w:rsidRDefault="006F35D7" w:rsidP="00856250">
            <w:pPr>
              <w:rPr>
                <w:sz w:val="20"/>
                <w:szCs w:val="20"/>
              </w:rPr>
            </w:pPr>
          </w:p>
          <w:p w14:paraId="73161651" w14:textId="77777777" w:rsidR="006D1F66" w:rsidRDefault="006D1F66" w:rsidP="00856250">
            <w:pPr>
              <w:rPr>
                <w:sz w:val="20"/>
                <w:szCs w:val="20"/>
              </w:rPr>
            </w:pPr>
          </w:p>
          <w:p w14:paraId="67752B9A" w14:textId="77777777" w:rsidR="006D1F66" w:rsidRDefault="006D1F66" w:rsidP="00856250">
            <w:pPr>
              <w:rPr>
                <w:sz w:val="20"/>
                <w:szCs w:val="20"/>
              </w:rPr>
            </w:pPr>
          </w:p>
          <w:p w14:paraId="20B5E391" w14:textId="77777777" w:rsidR="006D1F66" w:rsidRDefault="006D1F66" w:rsidP="00856250">
            <w:pPr>
              <w:rPr>
                <w:sz w:val="20"/>
                <w:szCs w:val="20"/>
              </w:rPr>
            </w:pPr>
          </w:p>
          <w:p w14:paraId="7CE804EB" w14:textId="77777777" w:rsidR="006D1F66" w:rsidRDefault="006D1F66" w:rsidP="00856250">
            <w:pPr>
              <w:rPr>
                <w:sz w:val="20"/>
                <w:szCs w:val="20"/>
              </w:rPr>
            </w:pPr>
          </w:p>
          <w:p w14:paraId="6C11A401" w14:textId="77777777" w:rsidR="006D1F66" w:rsidRDefault="006D1F66" w:rsidP="00856250">
            <w:pPr>
              <w:rPr>
                <w:sz w:val="20"/>
                <w:szCs w:val="20"/>
              </w:rPr>
            </w:pPr>
          </w:p>
          <w:p w14:paraId="7BCDA522" w14:textId="77777777" w:rsidR="006D1F66" w:rsidRDefault="006D1F66" w:rsidP="00856250">
            <w:pPr>
              <w:rPr>
                <w:sz w:val="20"/>
                <w:szCs w:val="20"/>
              </w:rPr>
            </w:pPr>
          </w:p>
          <w:p w14:paraId="1B45036A" w14:textId="77777777" w:rsidR="006D1F66" w:rsidRDefault="006D1F66" w:rsidP="00856250">
            <w:pPr>
              <w:rPr>
                <w:sz w:val="20"/>
                <w:szCs w:val="20"/>
              </w:rPr>
            </w:pPr>
          </w:p>
          <w:p w14:paraId="41A0A8F0" w14:textId="77777777" w:rsidR="006D1F66" w:rsidRDefault="006D1F66" w:rsidP="00856250">
            <w:pPr>
              <w:rPr>
                <w:sz w:val="20"/>
                <w:szCs w:val="20"/>
              </w:rPr>
            </w:pPr>
          </w:p>
          <w:p w14:paraId="4B7DD834" w14:textId="77777777" w:rsidR="006D1F66" w:rsidRDefault="006D1F66" w:rsidP="00856250">
            <w:pPr>
              <w:rPr>
                <w:sz w:val="20"/>
                <w:szCs w:val="20"/>
              </w:rPr>
            </w:pPr>
          </w:p>
          <w:p w14:paraId="35DC14A3" w14:textId="77777777" w:rsidR="006D1F66" w:rsidRDefault="006D1F66" w:rsidP="00856250">
            <w:pPr>
              <w:rPr>
                <w:sz w:val="20"/>
                <w:szCs w:val="20"/>
              </w:rPr>
            </w:pPr>
          </w:p>
          <w:p w14:paraId="57109192" w14:textId="77777777" w:rsidR="006D1F66" w:rsidRDefault="006D1F66" w:rsidP="00856250">
            <w:pPr>
              <w:rPr>
                <w:sz w:val="20"/>
                <w:szCs w:val="20"/>
              </w:rPr>
            </w:pPr>
          </w:p>
          <w:p w14:paraId="31AD7E82" w14:textId="77777777" w:rsidR="006D1F66" w:rsidRDefault="006D1F66" w:rsidP="00856250">
            <w:pPr>
              <w:rPr>
                <w:sz w:val="20"/>
                <w:szCs w:val="20"/>
              </w:rPr>
            </w:pPr>
          </w:p>
          <w:p w14:paraId="67DB0D5A" w14:textId="77777777" w:rsidR="006D1F66" w:rsidRDefault="006D1F66" w:rsidP="00856250">
            <w:pPr>
              <w:rPr>
                <w:sz w:val="20"/>
                <w:szCs w:val="20"/>
              </w:rPr>
            </w:pPr>
          </w:p>
          <w:p w14:paraId="599C2483" w14:textId="77777777" w:rsidR="006D1F66" w:rsidRDefault="006D1F66" w:rsidP="00856250">
            <w:pPr>
              <w:rPr>
                <w:sz w:val="20"/>
                <w:szCs w:val="20"/>
              </w:rPr>
            </w:pPr>
          </w:p>
          <w:p w14:paraId="5631A83B" w14:textId="77777777" w:rsidR="006D1F66" w:rsidRDefault="006D1F66" w:rsidP="00856250">
            <w:pPr>
              <w:rPr>
                <w:sz w:val="20"/>
                <w:szCs w:val="20"/>
              </w:rPr>
            </w:pPr>
          </w:p>
          <w:p w14:paraId="4A0FB5D3" w14:textId="77777777" w:rsidR="006D1F66" w:rsidRDefault="006D1F66" w:rsidP="00856250">
            <w:pPr>
              <w:rPr>
                <w:sz w:val="20"/>
                <w:szCs w:val="20"/>
              </w:rPr>
            </w:pPr>
          </w:p>
          <w:p w14:paraId="57BF4A0D" w14:textId="77777777" w:rsidR="006D1F66" w:rsidRDefault="006D1F66" w:rsidP="00856250">
            <w:pPr>
              <w:rPr>
                <w:sz w:val="20"/>
                <w:szCs w:val="20"/>
              </w:rPr>
            </w:pPr>
          </w:p>
          <w:p w14:paraId="6088ABDD" w14:textId="77777777" w:rsidR="006D1F66" w:rsidRDefault="006D1F66" w:rsidP="00856250">
            <w:pPr>
              <w:rPr>
                <w:sz w:val="20"/>
                <w:szCs w:val="20"/>
              </w:rPr>
            </w:pPr>
          </w:p>
          <w:p w14:paraId="763620A3" w14:textId="77777777" w:rsidR="006D1F66" w:rsidRDefault="006D1F66" w:rsidP="00856250">
            <w:pPr>
              <w:rPr>
                <w:sz w:val="20"/>
                <w:szCs w:val="20"/>
              </w:rPr>
            </w:pPr>
          </w:p>
          <w:p w14:paraId="158F07E0" w14:textId="77777777" w:rsidR="006D1F66" w:rsidRDefault="006D1F66" w:rsidP="00856250">
            <w:pPr>
              <w:rPr>
                <w:sz w:val="20"/>
                <w:szCs w:val="20"/>
              </w:rPr>
            </w:pPr>
          </w:p>
          <w:p w14:paraId="2B2DDD31" w14:textId="77777777" w:rsidR="006D1F66" w:rsidRDefault="006D1F66" w:rsidP="00856250">
            <w:pPr>
              <w:rPr>
                <w:sz w:val="20"/>
                <w:szCs w:val="20"/>
              </w:rPr>
            </w:pPr>
          </w:p>
          <w:p w14:paraId="198B58DA" w14:textId="77777777" w:rsidR="006D1F66" w:rsidRDefault="006D1F66" w:rsidP="00856250">
            <w:pPr>
              <w:rPr>
                <w:sz w:val="20"/>
                <w:szCs w:val="20"/>
              </w:rPr>
            </w:pPr>
          </w:p>
          <w:p w14:paraId="11DC5194" w14:textId="77777777" w:rsidR="006D1F66" w:rsidRDefault="006D1F66" w:rsidP="00856250">
            <w:pPr>
              <w:rPr>
                <w:sz w:val="20"/>
                <w:szCs w:val="20"/>
              </w:rPr>
            </w:pPr>
          </w:p>
          <w:p w14:paraId="4C325EF3" w14:textId="77777777" w:rsidR="006D1F66" w:rsidRDefault="006D1F66" w:rsidP="00856250">
            <w:pPr>
              <w:rPr>
                <w:sz w:val="20"/>
                <w:szCs w:val="20"/>
              </w:rPr>
            </w:pPr>
          </w:p>
          <w:p w14:paraId="4371755B" w14:textId="77777777" w:rsidR="006D1F66" w:rsidRDefault="006D1F66" w:rsidP="00856250">
            <w:pPr>
              <w:rPr>
                <w:sz w:val="20"/>
                <w:szCs w:val="20"/>
              </w:rPr>
            </w:pPr>
          </w:p>
          <w:p w14:paraId="72AFFF2B" w14:textId="77777777" w:rsidR="006D1F66" w:rsidRDefault="006D1F66" w:rsidP="00856250">
            <w:pPr>
              <w:rPr>
                <w:sz w:val="20"/>
                <w:szCs w:val="20"/>
              </w:rPr>
            </w:pPr>
          </w:p>
          <w:p w14:paraId="64DD1007" w14:textId="77777777" w:rsidR="006D1F66" w:rsidRDefault="006D1F66" w:rsidP="00856250">
            <w:pPr>
              <w:rPr>
                <w:sz w:val="20"/>
                <w:szCs w:val="20"/>
              </w:rPr>
            </w:pPr>
          </w:p>
          <w:p w14:paraId="0FBCBCAE" w14:textId="77777777" w:rsidR="006D1F66" w:rsidRDefault="006D1F66" w:rsidP="00856250">
            <w:pPr>
              <w:rPr>
                <w:sz w:val="20"/>
                <w:szCs w:val="20"/>
              </w:rPr>
            </w:pPr>
          </w:p>
          <w:p w14:paraId="569F1469" w14:textId="77777777" w:rsidR="006D1F66" w:rsidRDefault="006D1F66" w:rsidP="00856250">
            <w:pPr>
              <w:rPr>
                <w:sz w:val="20"/>
                <w:szCs w:val="20"/>
              </w:rPr>
            </w:pPr>
          </w:p>
          <w:p w14:paraId="1329AC8D" w14:textId="77777777" w:rsidR="006D1F66" w:rsidRDefault="006D1F66" w:rsidP="00856250">
            <w:pPr>
              <w:rPr>
                <w:sz w:val="20"/>
                <w:szCs w:val="20"/>
              </w:rPr>
            </w:pPr>
          </w:p>
          <w:p w14:paraId="15407712" w14:textId="1516A49D" w:rsidR="006D1F66" w:rsidRPr="00041997" w:rsidRDefault="006D1F66" w:rsidP="00856250">
            <w:pPr>
              <w:rPr>
                <w:sz w:val="20"/>
                <w:szCs w:val="20"/>
              </w:rPr>
            </w:pPr>
          </w:p>
        </w:tc>
        <w:tc>
          <w:tcPr>
            <w:tcW w:w="2210" w:type="pct"/>
          </w:tcPr>
          <w:p w14:paraId="6524B445" w14:textId="3A461364" w:rsidR="006F35D7" w:rsidRDefault="006F35D7" w:rsidP="003623F4">
            <w:pPr>
              <w:pStyle w:val="Clauseheading"/>
            </w:pPr>
            <w:r>
              <w:lastRenderedPageBreak/>
              <w:t xml:space="preserve">What must be on nutrition information panel </w:t>
            </w:r>
          </w:p>
          <w:p w14:paraId="35233AEA" w14:textId="609F392A" w:rsidR="006F35D7" w:rsidRDefault="006F35D7" w:rsidP="003623F4">
            <w:pPr>
              <w:rPr>
                <w:sz w:val="20"/>
                <w:szCs w:val="20"/>
              </w:rPr>
            </w:pPr>
            <w:r w:rsidRPr="00856250">
              <w:rPr>
                <w:sz w:val="20"/>
                <w:szCs w:val="20"/>
              </w:rPr>
              <w:t>(section 1.2.</w:t>
            </w:r>
            <w:r>
              <w:rPr>
                <w:sz w:val="20"/>
                <w:szCs w:val="20"/>
              </w:rPr>
              <w:t>8</w:t>
            </w:r>
            <w:r w:rsidRPr="00856250">
              <w:rPr>
                <w:rFonts w:cs="Arial"/>
                <w:sz w:val="20"/>
                <w:szCs w:val="20"/>
              </w:rPr>
              <w:t>―6</w:t>
            </w:r>
            <w:r w:rsidRPr="00856250">
              <w:rPr>
                <w:sz w:val="20"/>
                <w:szCs w:val="20"/>
              </w:rPr>
              <w:t>)</w:t>
            </w:r>
          </w:p>
          <w:p w14:paraId="7E09950E" w14:textId="77777777" w:rsidR="006F35D7" w:rsidRPr="00856250" w:rsidRDefault="006F35D7" w:rsidP="003623F4">
            <w:pPr>
              <w:rPr>
                <w:sz w:val="20"/>
                <w:szCs w:val="20"/>
              </w:rPr>
            </w:pPr>
          </w:p>
          <w:p w14:paraId="78DE86C4" w14:textId="21C68B1D" w:rsidR="006F35D7" w:rsidRDefault="006F35D7" w:rsidP="00135248">
            <w:pPr>
              <w:pStyle w:val="Clause"/>
              <w:numPr>
                <w:ilvl w:val="0"/>
                <w:numId w:val="33"/>
              </w:numPr>
              <w:tabs>
                <w:tab w:val="clear" w:pos="851"/>
              </w:tabs>
              <w:ind w:left="612" w:hanging="567"/>
            </w:pPr>
            <w:r w:rsidRPr="00041997">
              <w:t>A nutritio</w:t>
            </w:r>
            <w:r>
              <w:t>n information panel must contain the following information:</w:t>
            </w:r>
          </w:p>
          <w:p w14:paraId="6D122298" w14:textId="77777777" w:rsidR="006F35D7" w:rsidRDefault="006F35D7" w:rsidP="003623F4">
            <w:pPr>
              <w:pStyle w:val="Clause"/>
            </w:pPr>
          </w:p>
          <w:p w14:paraId="239804CB" w14:textId="75A3A9B8" w:rsidR="006F35D7" w:rsidRPr="00041997" w:rsidRDefault="00B40BDF" w:rsidP="00135248">
            <w:pPr>
              <w:pStyle w:val="Clause"/>
              <w:ind w:left="677" w:hanging="348"/>
            </w:pPr>
            <w:r>
              <w:t xml:space="preserve">(d)  </w:t>
            </w:r>
            <w:r w:rsidR="006F35D7">
              <w:t xml:space="preserve">for a serving of the food and a </w:t>
            </w:r>
            <w:r w:rsidR="00794B6E">
              <w:t>*</w:t>
            </w:r>
            <w:r w:rsidR="006F35D7">
              <w:t>unit quantity of the food (</w:t>
            </w:r>
            <w:r w:rsidR="00135248">
              <w:t xml:space="preserve">i.e. </w:t>
            </w:r>
            <w:r w:rsidR="006F35D7">
              <w:t>per 100 g or 100 ml):</w:t>
            </w:r>
          </w:p>
          <w:p w14:paraId="19FC94CC" w14:textId="77777777" w:rsidR="006F35D7" w:rsidRPr="00041997" w:rsidRDefault="006F35D7" w:rsidP="003623F4">
            <w:pPr>
              <w:rPr>
                <w:sz w:val="20"/>
                <w:szCs w:val="20"/>
              </w:rPr>
            </w:pPr>
          </w:p>
          <w:p w14:paraId="7CE39C19" w14:textId="08500C7E" w:rsidR="006F35D7" w:rsidRDefault="006F35D7" w:rsidP="00B72D26">
            <w:pPr>
              <w:pStyle w:val="Paragraph"/>
              <w:numPr>
                <w:ilvl w:val="0"/>
                <w:numId w:val="20"/>
              </w:numPr>
              <w:ind w:left="703" w:hanging="425"/>
            </w:pPr>
            <w:r>
              <w:t xml:space="preserve">the </w:t>
            </w:r>
            <w:r w:rsidR="00B40BDF">
              <w:t>*</w:t>
            </w:r>
            <w:r>
              <w:t xml:space="preserve">average energy content expressed in kilojoules or both </w:t>
            </w:r>
            <w:r w:rsidR="00B40BDF">
              <w:t>in kilojoules and in calories or</w:t>
            </w:r>
            <w:r>
              <w:t xml:space="preserve"> kilocalories; and</w:t>
            </w:r>
          </w:p>
          <w:p w14:paraId="6937C363" w14:textId="11D30F9A" w:rsidR="006F35D7" w:rsidRDefault="006F35D7" w:rsidP="00B72D26">
            <w:pPr>
              <w:pStyle w:val="Paragraph"/>
              <w:numPr>
                <w:ilvl w:val="0"/>
                <w:numId w:val="20"/>
              </w:numPr>
              <w:ind w:left="703" w:hanging="425"/>
            </w:pPr>
            <w:r>
              <w:t xml:space="preserve">the </w:t>
            </w:r>
            <w:r w:rsidR="00794B6E">
              <w:t>*</w:t>
            </w:r>
            <w:r>
              <w:t>average quantity of</w:t>
            </w:r>
          </w:p>
          <w:p w14:paraId="2B65CAA1" w14:textId="77777777" w:rsidR="006F35D7" w:rsidRDefault="006F35D7" w:rsidP="00B72D26">
            <w:pPr>
              <w:pStyle w:val="Paragraph"/>
              <w:numPr>
                <w:ilvl w:val="0"/>
                <w:numId w:val="21"/>
              </w:numPr>
            </w:pPr>
            <w:r>
              <w:t>protein, carbohydrate,</w:t>
            </w:r>
            <w:r w:rsidRPr="00041997">
              <w:t xml:space="preserve"> </w:t>
            </w:r>
            <w:r>
              <w:t>sugars, fat and,</w:t>
            </w:r>
          </w:p>
          <w:p w14:paraId="09E520AB" w14:textId="7E499FDF" w:rsidR="006F35D7" w:rsidRDefault="006F35D7" w:rsidP="00B72D26">
            <w:pPr>
              <w:pStyle w:val="Paragraph"/>
              <w:numPr>
                <w:ilvl w:val="0"/>
                <w:numId w:val="21"/>
              </w:numPr>
            </w:pPr>
            <w:r>
              <w:t>subject to subsection (4)</w:t>
            </w:r>
            <w:r w:rsidR="00135248">
              <w:t xml:space="preserve"> (i.e. relevant claims)</w:t>
            </w:r>
            <w:r>
              <w:t xml:space="preserve">, saturated fatty acids, expressed in grams. </w:t>
            </w:r>
            <w:r w:rsidRPr="00041997">
              <w:t xml:space="preserve"> </w:t>
            </w:r>
          </w:p>
          <w:p w14:paraId="35761DA9" w14:textId="68F61057" w:rsidR="006F35D7" w:rsidRPr="00A0189E" w:rsidRDefault="006F35D7" w:rsidP="00AA59AC">
            <w:pPr>
              <w:rPr>
                <w:sz w:val="20"/>
                <w:szCs w:val="20"/>
              </w:rPr>
            </w:pPr>
            <w:r>
              <w:rPr>
                <w:rFonts w:cs="Arial"/>
                <w:sz w:val="20"/>
                <w:szCs w:val="20"/>
              </w:rPr>
              <w:lastRenderedPageBreak/>
              <w:t>F</w:t>
            </w:r>
            <w:r w:rsidRPr="00A0189E">
              <w:rPr>
                <w:rFonts w:cs="Arial"/>
                <w:sz w:val="20"/>
                <w:szCs w:val="20"/>
              </w:rPr>
              <w:t xml:space="preserve">or </w:t>
            </w:r>
            <w:r w:rsidR="00007FE4">
              <w:rPr>
                <w:rFonts w:cs="Arial"/>
                <w:sz w:val="20"/>
                <w:szCs w:val="20"/>
              </w:rPr>
              <w:t>this Standard</w:t>
            </w:r>
            <w:r>
              <w:rPr>
                <w:rFonts w:cs="Arial"/>
                <w:sz w:val="20"/>
                <w:szCs w:val="20"/>
              </w:rPr>
              <w:t xml:space="preserve"> (a</w:t>
            </w:r>
            <w:r>
              <w:rPr>
                <w:sz w:val="20"/>
                <w:szCs w:val="20"/>
              </w:rPr>
              <w:t xml:space="preserve">s defined in </w:t>
            </w:r>
            <w:r w:rsidRPr="00B456F9">
              <w:rPr>
                <w:sz w:val="20"/>
                <w:szCs w:val="20"/>
              </w:rPr>
              <w:t>sub</w:t>
            </w:r>
            <w:r>
              <w:rPr>
                <w:sz w:val="20"/>
                <w:szCs w:val="20"/>
              </w:rPr>
              <w:t>section 1</w:t>
            </w:r>
            <w:r w:rsidRPr="00A0189E">
              <w:rPr>
                <w:sz w:val="20"/>
                <w:szCs w:val="20"/>
              </w:rPr>
              <w:t>.1.2</w:t>
            </w:r>
            <w:r w:rsidR="00007FE4">
              <w:rPr>
                <w:rFonts w:cs="Arial"/>
                <w:sz w:val="20"/>
                <w:szCs w:val="20"/>
              </w:rPr>
              <w:t>―2(3))</w:t>
            </w:r>
            <w:r w:rsidRPr="00A0189E">
              <w:rPr>
                <w:sz w:val="20"/>
                <w:szCs w:val="20"/>
              </w:rPr>
              <w:t>:</w:t>
            </w:r>
          </w:p>
          <w:p w14:paraId="35D2CDD6" w14:textId="414C32BB" w:rsidR="006F35D7" w:rsidRDefault="006F35D7" w:rsidP="00007FE4">
            <w:pPr>
              <w:pStyle w:val="Clause"/>
              <w:ind w:left="187"/>
            </w:pPr>
            <w:r w:rsidRPr="006C2726">
              <w:rPr>
                <w:b/>
                <w:i/>
              </w:rPr>
              <w:t>fat</w:t>
            </w:r>
            <w:r w:rsidRPr="006C2726">
              <w:rPr>
                <w:i/>
              </w:rPr>
              <w:t xml:space="preserve"> </w:t>
            </w:r>
            <w:r w:rsidRPr="006C2726">
              <w:t>means total fat</w:t>
            </w:r>
            <w:r>
              <w:t xml:space="preserve"> </w:t>
            </w:r>
          </w:p>
          <w:p w14:paraId="2D8A5B75" w14:textId="78C4EAF1" w:rsidR="006F35D7" w:rsidRDefault="006F35D7" w:rsidP="00007FE4">
            <w:pPr>
              <w:ind w:left="187"/>
            </w:pPr>
            <w:r w:rsidRPr="006C2726">
              <w:rPr>
                <w:b/>
                <w:i/>
                <w:sz w:val="20"/>
                <w:szCs w:val="20"/>
              </w:rPr>
              <w:t>sugars</w:t>
            </w:r>
            <w:r w:rsidRPr="006C2726">
              <w:rPr>
                <w:sz w:val="20"/>
                <w:szCs w:val="20"/>
              </w:rPr>
              <w:t xml:space="preserve"> means monosaccharides and disaccharides</w:t>
            </w:r>
          </w:p>
          <w:p w14:paraId="12C7A205" w14:textId="77777777" w:rsidR="006F35D7" w:rsidRDefault="006F35D7" w:rsidP="00AA59AC"/>
          <w:p w14:paraId="5692E9D9" w14:textId="51EBDBB7" w:rsidR="00794B6E" w:rsidRDefault="00794B6E" w:rsidP="00794B6E">
            <w:pPr>
              <w:spacing w:before="20" w:after="20"/>
              <w:rPr>
                <w:sz w:val="20"/>
                <w:szCs w:val="20"/>
              </w:rPr>
            </w:pPr>
            <w:r>
              <w:rPr>
                <w:rFonts w:eastAsia="Times New Roman" w:cs="Arial"/>
                <w:color w:val="000000"/>
                <w:sz w:val="20"/>
                <w:szCs w:val="20"/>
                <w:lang w:val="en-AU" w:eastAsia="en-AU"/>
              </w:rPr>
              <w:t xml:space="preserve">The terms *unit quantity, *average energy content and *average quantity are </w:t>
            </w:r>
            <w:r w:rsidRPr="00676EEC">
              <w:rPr>
                <w:rFonts w:eastAsia="Times New Roman" w:cs="Arial"/>
                <w:color w:val="000000"/>
                <w:sz w:val="20"/>
                <w:szCs w:val="20"/>
                <w:lang w:val="en-AU" w:eastAsia="en-AU"/>
              </w:rPr>
              <w:t xml:space="preserve">defined in </w:t>
            </w:r>
            <w:r>
              <w:rPr>
                <w:rFonts w:eastAsia="Times New Roman" w:cs="Arial"/>
                <w:color w:val="000000"/>
                <w:sz w:val="20"/>
                <w:szCs w:val="20"/>
                <w:lang w:val="en-AU" w:eastAsia="en-AU"/>
              </w:rPr>
              <w:t>Standard</w:t>
            </w:r>
            <w:r w:rsidRPr="00676EEC">
              <w:rPr>
                <w:rFonts w:eastAsia="Times New Roman" w:cs="Arial"/>
                <w:color w:val="000000"/>
                <w:sz w:val="20"/>
                <w:szCs w:val="20"/>
                <w:lang w:val="en-AU" w:eastAsia="en-AU"/>
              </w:rPr>
              <w:t xml:space="preserve"> </w:t>
            </w:r>
            <w:r>
              <w:rPr>
                <w:sz w:val="20"/>
                <w:szCs w:val="20"/>
              </w:rPr>
              <w:t>1.1.2.</w:t>
            </w:r>
          </w:p>
          <w:p w14:paraId="3622E955" w14:textId="5F9447CA" w:rsidR="00794B6E" w:rsidRPr="00AA59AC" w:rsidRDefault="00794B6E" w:rsidP="00AA59AC"/>
        </w:tc>
        <w:tc>
          <w:tcPr>
            <w:tcW w:w="2209" w:type="pct"/>
          </w:tcPr>
          <w:p w14:paraId="432975B1" w14:textId="6CDD9179" w:rsidR="006F35D7" w:rsidRDefault="006F35D7" w:rsidP="00B456F9">
            <w:pPr>
              <w:rPr>
                <w:b/>
                <w:sz w:val="20"/>
                <w:szCs w:val="20"/>
              </w:rPr>
            </w:pPr>
            <w:r>
              <w:rPr>
                <w:sz w:val="20"/>
                <w:szCs w:val="20"/>
              </w:rPr>
              <w:lastRenderedPageBreak/>
              <w:t xml:space="preserve">As discussed in </w:t>
            </w:r>
            <w:r w:rsidRPr="006D1F66">
              <w:rPr>
                <w:sz w:val="20"/>
                <w:szCs w:val="20"/>
              </w:rPr>
              <w:t>section 2.3.1 above</w:t>
            </w:r>
            <w:r>
              <w:rPr>
                <w:sz w:val="20"/>
                <w:szCs w:val="20"/>
              </w:rPr>
              <w:t>, the</w:t>
            </w:r>
            <w:r w:rsidRPr="002D1CE7">
              <w:rPr>
                <w:sz w:val="20"/>
                <w:szCs w:val="20"/>
              </w:rPr>
              <w:t xml:space="preserve"> </w:t>
            </w:r>
            <w:r>
              <w:rPr>
                <w:sz w:val="20"/>
                <w:szCs w:val="20"/>
              </w:rPr>
              <w:t>implications of the ‘</w:t>
            </w:r>
            <w:r w:rsidRPr="002D1CE7">
              <w:rPr>
                <w:sz w:val="20"/>
                <w:szCs w:val="20"/>
              </w:rPr>
              <w:t>added sugars</w:t>
            </w:r>
            <w:r>
              <w:rPr>
                <w:sz w:val="20"/>
                <w:szCs w:val="20"/>
              </w:rPr>
              <w:t xml:space="preserve">’ </w:t>
            </w:r>
            <w:r w:rsidR="00B40BDF">
              <w:rPr>
                <w:sz w:val="20"/>
                <w:szCs w:val="20"/>
              </w:rPr>
              <w:t>grouped</w:t>
            </w:r>
            <w:r>
              <w:rPr>
                <w:sz w:val="20"/>
                <w:szCs w:val="20"/>
              </w:rPr>
              <w:t xml:space="preserve"> </w:t>
            </w:r>
            <w:r w:rsidRPr="002D1CE7">
              <w:rPr>
                <w:sz w:val="20"/>
                <w:szCs w:val="20"/>
              </w:rPr>
              <w:t>in the statement of ingredients</w:t>
            </w:r>
            <w:r>
              <w:rPr>
                <w:sz w:val="20"/>
                <w:szCs w:val="20"/>
              </w:rPr>
              <w:t xml:space="preserve"> in conjunction with the amount of total sugars declared </w:t>
            </w:r>
            <w:r w:rsidRPr="002D1CE7">
              <w:rPr>
                <w:sz w:val="20"/>
                <w:szCs w:val="20"/>
              </w:rPr>
              <w:t xml:space="preserve">in the </w:t>
            </w:r>
            <w:r>
              <w:rPr>
                <w:sz w:val="20"/>
                <w:szCs w:val="20"/>
              </w:rPr>
              <w:t>NIP (which captures both naturally occurring and added sugars) would require consideration.</w:t>
            </w:r>
          </w:p>
          <w:p w14:paraId="2894E8DC" w14:textId="77777777" w:rsidR="006F35D7" w:rsidRDefault="006F35D7" w:rsidP="00B456F9">
            <w:pPr>
              <w:rPr>
                <w:b/>
                <w:sz w:val="20"/>
                <w:szCs w:val="20"/>
              </w:rPr>
            </w:pPr>
          </w:p>
          <w:p w14:paraId="745E37F8" w14:textId="45D0F887" w:rsidR="006F35D7" w:rsidRPr="0016740B" w:rsidRDefault="006F35D7" w:rsidP="008C603C">
            <w:pPr>
              <w:rPr>
                <w:b/>
                <w:sz w:val="20"/>
                <w:szCs w:val="20"/>
              </w:rPr>
            </w:pPr>
            <w:r>
              <w:rPr>
                <w:sz w:val="20"/>
                <w:szCs w:val="20"/>
              </w:rPr>
              <w:t>Similar consideration would be necessary in</w:t>
            </w:r>
            <w:r w:rsidR="00B40BDF">
              <w:rPr>
                <w:sz w:val="20"/>
                <w:szCs w:val="20"/>
              </w:rPr>
              <w:t xml:space="preserve"> relation to ‘added fats’ grouped</w:t>
            </w:r>
            <w:r>
              <w:rPr>
                <w:sz w:val="20"/>
                <w:szCs w:val="20"/>
              </w:rPr>
              <w:t xml:space="preserve"> in the statement of ingredients, and the declaration of total fat in the NIP, which captures both naturally occurring and added fats.</w:t>
            </w:r>
          </w:p>
        </w:tc>
      </w:tr>
      <w:tr w:rsidR="006F35D7" w14:paraId="47817C37" w14:textId="77777777" w:rsidTr="006F35D7">
        <w:tc>
          <w:tcPr>
            <w:tcW w:w="581" w:type="pct"/>
            <w:vMerge/>
          </w:tcPr>
          <w:p w14:paraId="16057896" w14:textId="30610FE3" w:rsidR="006F35D7" w:rsidRPr="00041997" w:rsidRDefault="006F35D7" w:rsidP="00856250">
            <w:pPr>
              <w:rPr>
                <w:sz w:val="20"/>
                <w:szCs w:val="20"/>
              </w:rPr>
            </w:pPr>
          </w:p>
        </w:tc>
        <w:tc>
          <w:tcPr>
            <w:tcW w:w="2210" w:type="pct"/>
          </w:tcPr>
          <w:p w14:paraId="7F97CF5C" w14:textId="77777777" w:rsidR="006F35D7" w:rsidRDefault="006F35D7" w:rsidP="006F35D7">
            <w:pPr>
              <w:rPr>
                <w:b/>
                <w:bCs/>
                <w:kern w:val="32"/>
                <w:sz w:val="20"/>
                <w:szCs w:val="20"/>
                <w:lang w:eastAsia="en-AU"/>
              </w:rPr>
            </w:pPr>
            <w:r w:rsidRPr="006F35D7">
              <w:rPr>
                <w:b/>
                <w:bCs/>
                <w:kern w:val="32"/>
                <w:sz w:val="20"/>
                <w:szCs w:val="20"/>
                <w:lang w:eastAsia="en-AU"/>
              </w:rPr>
              <w:t>Percentage daily intake information</w:t>
            </w:r>
          </w:p>
          <w:p w14:paraId="0CE21597" w14:textId="12908CC6" w:rsidR="006F35D7" w:rsidRPr="006F35D7" w:rsidRDefault="006F35D7" w:rsidP="006F35D7">
            <w:pPr>
              <w:rPr>
                <w:bCs/>
                <w:kern w:val="32"/>
                <w:sz w:val="20"/>
                <w:szCs w:val="20"/>
                <w:lang w:eastAsia="en-AU"/>
              </w:rPr>
            </w:pPr>
            <w:r>
              <w:rPr>
                <w:bCs/>
                <w:kern w:val="32"/>
                <w:sz w:val="20"/>
                <w:szCs w:val="20"/>
                <w:lang w:eastAsia="en-AU"/>
              </w:rPr>
              <w:t>(section 1.2.8—8</w:t>
            </w:r>
            <w:r w:rsidR="00844E6B">
              <w:rPr>
                <w:bCs/>
                <w:kern w:val="32"/>
                <w:sz w:val="20"/>
                <w:szCs w:val="20"/>
                <w:lang w:eastAsia="en-AU"/>
              </w:rPr>
              <w:t>)</w:t>
            </w:r>
          </w:p>
          <w:p w14:paraId="7DFB05B0" w14:textId="5DC556E0" w:rsidR="006F35D7" w:rsidRPr="006F35D7" w:rsidRDefault="006F35D7" w:rsidP="006F35D7">
            <w:pPr>
              <w:widowControl w:val="0"/>
              <w:tabs>
                <w:tab w:val="left" w:pos="612"/>
              </w:tabs>
              <w:spacing w:before="120" w:after="120"/>
              <w:ind w:left="612" w:hanging="612"/>
              <w:rPr>
                <w:rFonts w:eastAsia="Times New Roman" w:cs="Arial"/>
                <w:iCs/>
                <w:sz w:val="20"/>
                <w:szCs w:val="20"/>
                <w:lang w:eastAsia="en-AU"/>
              </w:rPr>
            </w:pPr>
            <w:r w:rsidRPr="006F35D7">
              <w:rPr>
                <w:rFonts w:eastAsia="Times New Roman" w:cs="Arial"/>
                <w:iCs/>
                <w:sz w:val="20"/>
                <w:szCs w:val="20"/>
                <w:lang w:eastAsia="en-AU"/>
              </w:rPr>
              <w:t>(1)</w:t>
            </w:r>
            <w:r w:rsidRPr="006F35D7">
              <w:rPr>
                <w:rFonts w:eastAsia="Times New Roman" w:cs="Arial"/>
                <w:iCs/>
                <w:sz w:val="20"/>
                <w:szCs w:val="20"/>
                <w:lang w:eastAsia="en-AU"/>
              </w:rPr>
              <w:tab/>
              <w:t>A nutrition information panel may include information relating to the percentage daily intake of nutrients set out in the panel.</w:t>
            </w:r>
          </w:p>
          <w:p w14:paraId="22162827" w14:textId="1B50A02F" w:rsidR="006F35D7" w:rsidRPr="006F35D7" w:rsidRDefault="006F35D7" w:rsidP="006F35D7">
            <w:pPr>
              <w:widowControl w:val="0"/>
              <w:tabs>
                <w:tab w:val="left" w:pos="612"/>
              </w:tabs>
              <w:spacing w:before="120" w:after="120"/>
              <w:ind w:left="612" w:hanging="612"/>
              <w:rPr>
                <w:rFonts w:eastAsia="Times New Roman" w:cs="Arial"/>
                <w:iCs/>
                <w:sz w:val="20"/>
                <w:szCs w:val="20"/>
                <w:lang w:eastAsia="en-AU"/>
              </w:rPr>
            </w:pPr>
            <w:r w:rsidRPr="006F35D7">
              <w:rPr>
                <w:rFonts w:eastAsia="Times New Roman" w:cs="Arial"/>
                <w:iCs/>
                <w:sz w:val="20"/>
                <w:szCs w:val="20"/>
                <w:lang w:eastAsia="en-AU"/>
              </w:rPr>
              <w:t>(2)</w:t>
            </w:r>
            <w:r w:rsidRPr="006F35D7">
              <w:rPr>
                <w:rFonts w:eastAsia="Times New Roman" w:cs="Arial"/>
                <w:iCs/>
                <w:sz w:val="20"/>
                <w:szCs w:val="20"/>
                <w:lang w:eastAsia="en-AU"/>
              </w:rPr>
              <w:tab/>
              <w:t xml:space="preserve">If information relating to percentage daily intake is included, the panel may include the percentage daily intake of *dietary fibre </w:t>
            </w:r>
            <w:r w:rsidR="00844E6B">
              <w:rPr>
                <w:rFonts w:eastAsia="Times New Roman" w:cs="Arial"/>
                <w:iCs/>
                <w:sz w:val="20"/>
                <w:szCs w:val="20"/>
                <w:lang w:eastAsia="en-AU"/>
              </w:rPr>
              <w:t xml:space="preserve">(defined in section </w:t>
            </w:r>
            <w:r w:rsidR="00844E6B">
              <w:rPr>
                <w:bCs/>
                <w:kern w:val="32"/>
                <w:sz w:val="20"/>
                <w:szCs w:val="20"/>
                <w:lang w:eastAsia="en-AU"/>
              </w:rPr>
              <w:t>1.1.2—2)</w:t>
            </w:r>
            <w:r w:rsidR="00844E6B">
              <w:rPr>
                <w:rFonts w:eastAsia="Times New Roman" w:cs="Arial"/>
                <w:iCs/>
                <w:sz w:val="20"/>
                <w:szCs w:val="20"/>
                <w:lang w:eastAsia="en-AU"/>
              </w:rPr>
              <w:t xml:space="preserve"> </w:t>
            </w:r>
            <w:r w:rsidRPr="006F35D7">
              <w:rPr>
                <w:rFonts w:eastAsia="Times New Roman" w:cs="Arial"/>
                <w:iCs/>
                <w:sz w:val="20"/>
                <w:szCs w:val="20"/>
                <w:lang w:eastAsia="en-AU"/>
              </w:rPr>
              <w:t>per serving.</w:t>
            </w:r>
          </w:p>
          <w:p w14:paraId="470F1358" w14:textId="5950D401" w:rsidR="006F35D7" w:rsidRPr="006F35D7" w:rsidRDefault="006F35D7" w:rsidP="006F35D7">
            <w:pPr>
              <w:widowControl w:val="0"/>
              <w:tabs>
                <w:tab w:val="left" w:pos="612"/>
              </w:tabs>
              <w:spacing w:before="120" w:after="120"/>
              <w:ind w:left="612" w:hanging="612"/>
              <w:rPr>
                <w:rFonts w:eastAsia="Times New Roman" w:cs="Arial"/>
                <w:iCs/>
                <w:sz w:val="20"/>
                <w:szCs w:val="20"/>
                <w:lang w:eastAsia="en-AU"/>
              </w:rPr>
            </w:pPr>
            <w:r w:rsidRPr="006F35D7">
              <w:rPr>
                <w:rFonts w:eastAsia="Times New Roman" w:cs="Arial"/>
                <w:iCs/>
                <w:sz w:val="20"/>
                <w:szCs w:val="20"/>
                <w:lang w:eastAsia="en-AU"/>
              </w:rPr>
              <w:t>(3)</w:t>
            </w:r>
            <w:r w:rsidRPr="006F35D7">
              <w:rPr>
                <w:rFonts w:eastAsia="Times New Roman" w:cs="Arial"/>
                <w:iCs/>
                <w:sz w:val="20"/>
                <w:szCs w:val="20"/>
                <w:lang w:eastAsia="en-AU"/>
              </w:rPr>
              <w:tab/>
              <w:t>If information relating to percentage daily intake is included, the panel must include:</w:t>
            </w:r>
          </w:p>
          <w:p w14:paraId="2865F322" w14:textId="77777777" w:rsidR="006F35D7" w:rsidRPr="006F35D7" w:rsidRDefault="006F35D7" w:rsidP="006F35D7">
            <w:pPr>
              <w:keepNext/>
              <w:widowControl w:val="0"/>
              <w:tabs>
                <w:tab w:val="left" w:pos="612"/>
              </w:tabs>
              <w:spacing w:before="60" w:after="60"/>
              <w:ind w:left="1179" w:hanging="1179"/>
              <w:rPr>
                <w:rFonts w:eastAsia="Times New Roman" w:cs="Arial"/>
                <w:iCs/>
                <w:sz w:val="20"/>
                <w:szCs w:val="20"/>
                <w:lang w:eastAsia="en-AU"/>
              </w:rPr>
            </w:pPr>
            <w:r w:rsidRPr="006F35D7">
              <w:rPr>
                <w:rFonts w:eastAsia="Times New Roman" w:cs="Arial"/>
                <w:iCs/>
                <w:sz w:val="20"/>
                <w:szCs w:val="20"/>
                <w:lang w:eastAsia="en-AU"/>
              </w:rPr>
              <w:tab/>
              <w:t>(a)</w:t>
            </w:r>
            <w:r w:rsidRPr="006F35D7">
              <w:rPr>
                <w:rFonts w:eastAsia="Times New Roman" w:cs="Arial"/>
                <w:iCs/>
                <w:sz w:val="20"/>
                <w:szCs w:val="20"/>
                <w:lang w:eastAsia="en-AU"/>
              </w:rPr>
              <w:tab/>
              <w:t>the percentage daily intake per serving, calculated using the associated reference value listed below, of the following items:</w:t>
            </w:r>
          </w:p>
          <w:p w14:paraId="6A2D22DC" w14:textId="77777777" w:rsidR="006F35D7" w:rsidRPr="006F35D7" w:rsidRDefault="006F35D7" w:rsidP="006F35D7">
            <w:pPr>
              <w:keepNext/>
              <w:keepLines/>
              <w:spacing w:before="240" w:after="120"/>
              <w:jc w:val="center"/>
              <w:rPr>
                <w:rFonts w:eastAsia="Times New Roman" w:cs="Arial"/>
                <w:b/>
                <w:color w:val="000000"/>
                <w:sz w:val="18"/>
                <w:lang w:eastAsia="en-AU"/>
              </w:rPr>
            </w:pPr>
            <w:r w:rsidRPr="006F35D7">
              <w:rPr>
                <w:rFonts w:eastAsia="Times New Roman" w:cs="Arial"/>
                <w:b/>
                <w:color w:val="000000"/>
                <w:sz w:val="18"/>
                <w:lang w:eastAsia="en-AU"/>
              </w:rPr>
              <w:t>Reference values for per cent daily intake information</w:t>
            </w:r>
          </w:p>
          <w:tbl>
            <w:tblPr>
              <w:tblStyle w:val="TableGrid"/>
              <w:tblW w:w="4536" w:type="dxa"/>
              <w:jc w:val="center"/>
              <w:tblLook w:val="04A0" w:firstRow="1" w:lastRow="0" w:firstColumn="1" w:lastColumn="0" w:noHBand="0" w:noVBand="1"/>
            </w:tblPr>
            <w:tblGrid>
              <w:gridCol w:w="2441"/>
              <w:gridCol w:w="2095"/>
            </w:tblGrid>
            <w:tr w:rsidR="006F35D7" w:rsidRPr="006F35D7" w14:paraId="564B4522" w14:textId="77777777" w:rsidTr="003B45EB">
              <w:trPr>
                <w:jc w:val="center"/>
              </w:trPr>
              <w:tc>
                <w:tcPr>
                  <w:tcW w:w="1267" w:type="dxa"/>
                  <w:tcBorders>
                    <w:left w:val="nil"/>
                    <w:bottom w:val="single" w:sz="4" w:space="0" w:color="auto"/>
                    <w:right w:val="nil"/>
                  </w:tcBorders>
                </w:tcPr>
                <w:p w14:paraId="609F4503" w14:textId="77777777" w:rsidR="006F35D7" w:rsidRPr="006F35D7" w:rsidRDefault="006F35D7" w:rsidP="006F35D7">
                  <w:pPr>
                    <w:keepNext/>
                    <w:keepLines/>
                    <w:spacing w:before="60" w:after="60"/>
                    <w:rPr>
                      <w:rFonts w:cs="Arial"/>
                      <w:b/>
                      <w:i/>
                      <w:sz w:val="18"/>
                    </w:rPr>
                  </w:pPr>
                  <w:r w:rsidRPr="006F35D7">
                    <w:rPr>
                      <w:rFonts w:cs="Arial"/>
                      <w:b/>
                      <w:i/>
                      <w:sz w:val="18"/>
                    </w:rPr>
                    <w:t>Item</w:t>
                  </w:r>
                </w:p>
              </w:tc>
              <w:tc>
                <w:tcPr>
                  <w:tcW w:w="1087" w:type="dxa"/>
                  <w:tcBorders>
                    <w:left w:val="nil"/>
                    <w:bottom w:val="single" w:sz="4" w:space="0" w:color="auto"/>
                    <w:right w:val="nil"/>
                  </w:tcBorders>
                </w:tcPr>
                <w:p w14:paraId="59275DED" w14:textId="77777777" w:rsidR="006F35D7" w:rsidRPr="006F35D7" w:rsidRDefault="006F35D7" w:rsidP="006F35D7">
                  <w:pPr>
                    <w:keepNext/>
                    <w:keepLines/>
                    <w:spacing w:before="60" w:after="60"/>
                    <w:rPr>
                      <w:rFonts w:cs="Arial"/>
                      <w:b/>
                      <w:i/>
                      <w:sz w:val="18"/>
                    </w:rPr>
                  </w:pPr>
                  <w:r w:rsidRPr="006F35D7">
                    <w:rPr>
                      <w:rFonts w:cs="Arial"/>
                      <w:b/>
                      <w:i/>
                      <w:sz w:val="18"/>
                    </w:rPr>
                    <w:t>Reference value</w:t>
                  </w:r>
                </w:p>
              </w:tc>
            </w:tr>
            <w:tr w:rsidR="006F35D7" w:rsidRPr="006F35D7" w14:paraId="4502C001" w14:textId="77777777" w:rsidTr="003B45EB">
              <w:trPr>
                <w:jc w:val="center"/>
              </w:trPr>
              <w:tc>
                <w:tcPr>
                  <w:tcW w:w="1267" w:type="dxa"/>
                  <w:tcBorders>
                    <w:left w:val="nil"/>
                    <w:bottom w:val="nil"/>
                    <w:right w:val="nil"/>
                  </w:tcBorders>
                </w:tcPr>
                <w:p w14:paraId="20A802BE" w14:textId="77777777" w:rsidR="006F35D7" w:rsidRPr="006F35D7" w:rsidRDefault="006F35D7" w:rsidP="006F35D7">
                  <w:pPr>
                    <w:keepLines/>
                    <w:tabs>
                      <w:tab w:val="right" w:pos="3969"/>
                    </w:tabs>
                    <w:spacing w:before="60" w:after="60"/>
                    <w:rPr>
                      <w:rFonts w:cs="Arial"/>
                      <w:sz w:val="18"/>
                      <w:szCs w:val="20"/>
                    </w:rPr>
                  </w:pPr>
                  <w:r w:rsidRPr="006F35D7">
                    <w:rPr>
                      <w:rFonts w:cs="Arial"/>
                      <w:sz w:val="18"/>
                      <w:szCs w:val="20"/>
                    </w:rPr>
                    <w:t>energy</w:t>
                  </w:r>
                </w:p>
              </w:tc>
              <w:tc>
                <w:tcPr>
                  <w:tcW w:w="1087" w:type="dxa"/>
                  <w:tcBorders>
                    <w:left w:val="nil"/>
                    <w:bottom w:val="nil"/>
                    <w:right w:val="nil"/>
                  </w:tcBorders>
                </w:tcPr>
                <w:p w14:paraId="687E013F" w14:textId="77777777" w:rsidR="006F35D7" w:rsidRPr="006F35D7" w:rsidRDefault="006F35D7" w:rsidP="006F35D7">
                  <w:pPr>
                    <w:keepLines/>
                    <w:tabs>
                      <w:tab w:val="right" w:pos="3969"/>
                    </w:tabs>
                    <w:spacing w:before="60" w:after="60"/>
                    <w:jc w:val="right"/>
                    <w:rPr>
                      <w:rFonts w:cs="Arial"/>
                      <w:sz w:val="18"/>
                      <w:szCs w:val="20"/>
                    </w:rPr>
                  </w:pPr>
                  <w:r w:rsidRPr="006F35D7">
                    <w:rPr>
                      <w:rFonts w:cs="Arial"/>
                      <w:sz w:val="18"/>
                      <w:szCs w:val="20"/>
                    </w:rPr>
                    <w:t>8 700 kJ</w:t>
                  </w:r>
                </w:p>
              </w:tc>
            </w:tr>
            <w:tr w:rsidR="006F35D7" w:rsidRPr="006F35D7" w14:paraId="652753ED" w14:textId="77777777" w:rsidTr="003B45EB">
              <w:trPr>
                <w:jc w:val="center"/>
              </w:trPr>
              <w:tc>
                <w:tcPr>
                  <w:tcW w:w="1267" w:type="dxa"/>
                  <w:tcBorders>
                    <w:top w:val="nil"/>
                    <w:left w:val="nil"/>
                    <w:bottom w:val="nil"/>
                    <w:right w:val="nil"/>
                  </w:tcBorders>
                </w:tcPr>
                <w:p w14:paraId="158CB258" w14:textId="77777777" w:rsidR="006F35D7" w:rsidRPr="006F35D7" w:rsidRDefault="006F35D7" w:rsidP="006F35D7">
                  <w:pPr>
                    <w:keepLines/>
                    <w:tabs>
                      <w:tab w:val="right" w:pos="3969"/>
                    </w:tabs>
                    <w:spacing w:before="60" w:after="60"/>
                    <w:rPr>
                      <w:rFonts w:cs="Arial"/>
                      <w:sz w:val="18"/>
                      <w:szCs w:val="20"/>
                    </w:rPr>
                  </w:pPr>
                  <w:r w:rsidRPr="006F35D7">
                    <w:rPr>
                      <w:rFonts w:cs="Arial"/>
                      <w:sz w:val="18"/>
                      <w:szCs w:val="20"/>
                    </w:rPr>
                    <w:t>protein</w:t>
                  </w:r>
                </w:p>
              </w:tc>
              <w:tc>
                <w:tcPr>
                  <w:tcW w:w="1087" w:type="dxa"/>
                  <w:tcBorders>
                    <w:top w:val="nil"/>
                    <w:left w:val="nil"/>
                    <w:bottom w:val="nil"/>
                    <w:right w:val="nil"/>
                  </w:tcBorders>
                </w:tcPr>
                <w:p w14:paraId="51A2947D" w14:textId="77777777" w:rsidR="006F35D7" w:rsidRPr="006F35D7" w:rsidRDefault="006F35D7" w:rsidP="006F35D7">
                  <w:pPr>
                    <w:keepLines/>
                    <w:tabs>
                      <w:tab w:val="right" w:pos="3969"/>
                    </w:tabs>
                    <w:spacing w:before="60" w:after="60"/>
                    <w:jc w:val="right"/>
                    <w:rPr>
                      <w:rFonts w:cs="Arial"/>
                      <w:sz w:val="18"/>
                      <w:szCs w:val="20"/>
                    </w:rPr>
                  </w:pPr>
                  <w:r w:rsidRPr="006F35D7">
                    <w:rPr>
                      <w:rFonts w:cs="Arial"/>
                      <w:sz w:val="18"/>
                      <w:szCs w:val="20"/>
                    </w:rPr>
                    <w:t xml:space="preserve">50 g </w:t>
                  </w:r>
                </w:p>
              </w:tc>
            </w:tr>
            <w:tr w:rsidR="006F35D7" w:rsidRPr="006F35D7" w14:paraId="3341BB74" w14:textId="77777777" w:rsidTr="003B45EB">
              <w:trPr>
                <w:jc w:val="center"/>
              </w:trPr>
              <w:tc>
                <w:tcPr>
                  <w:tcW w:w="1267" w:type="dxa"/>
                  <w:tcBorders>
                    <w:top w:val="nil"/>
                    <w:left w:val="nil"/>
                    <w:bottom w:val="nil"/>
                    <w:right w:val="nil"/>
                  </w:tcBorders>
                </w:tcPr>
                <w:p w14:paraId="30CBA71B" w14:textId="77777777" w:rsidR="006F35D7" w:rsidRPr="006F35D7" w:rsidRDefault="006F35D7" w:rsidP="006F35D7">
                  <w:pPr>
                    <w:keepLines/>
                    <w:tabs>
                      <w:tab w:val="right" w:pos="3969"/>
                    </w:tabs>
                    <w:spacing w:before="60" w:after="60"/>
                    <w:rPr>
                      <w:rFonts w:cs="Arial"/>
                      <w:sz w:val="18"/>
                      <w:szCs w:val="20"/>
                    </w:rPr>
                  </w:pPr>
                  <w:r w:rsidRPr="006F35D7">
                    <w:rPr>
                      <w:rFonts w:cs="Arial"/>
                      <w:sz w:val="18"/>
                      <w:szCs w:val="20"/>
                    </w:rPr>
                    <w:t>fat</w:t>
                  </w:r>
                </w:p>
              </w:tc>
              <w:tc>
                <w:tcPr>
                  <w:tcW w:w="1087" w:type="dxa"/>
                  <w:tcBorders>
                    <w:top w:val="nil"/>
                    <w:left w:val="nil"/>
                    <w:bottom w:val="nil"/>
                    <w:right w:val="nil"/>
                  </w:tcBorders>
                </w:tcPr>
                <w:p w14:paraId="0FD681E4" w14:textId="77777777" w:rsidR="006F35D7" w:rsidRPr="006F35D7" w:rsidRDefault="006F35D7" w:rsidP="006F35D7">
                  <w:pPr>
                    <w:keepLines/>
                    <w:tabs>
                      <w:tab w:val="right" w:pos="3969"/>
                    </w:tabs>
                    <w:spacing w:before="60" w:after="60"/>
                    <w:jc w:val="right"/>
                    <w:rPr>
                      <w:rFonts w:cs="Arial"/>
                      <w:sz w:val="18"/>
                      <w:szCs w:val="20"/>
                    </w:rPr>
                  </w:pPr>
                  <w:r w:rsidRPr="006F35D7">
                    <w:rPr>
                      <w:rFonts w:cs="Arial"/>
                      <w:sz w:val="18"/>
                      <w:szCs w:val="20"/>
                    </w:rPr>
                    <w:t>70 g</w:t>
                  </w:r>
                </w:p>
              </w:tc>
            </w:tr>
            <w:tr w:rsidR="006F35D7" w:rsidRPr="006F35D7" w14:paraId="40AD749B" w14:textId="77777777" w:rsidTr="003B45EB">
              <w:trPr>
                <w:jc w:val="center"/>
              </w:trPr>
              <w:tc>
                <w:tcPr>
                  <w:tcW w:w="1267" w:type="dxa"/>
                  <w:tcBorders>
                    <w:top w:val="nil"/>
                    <w:left w:val="nil"/>
                    <w:bottom w:val="nil"/>
                    <w:right w:val="nil"/>
                  </w:tcBorders>
                </w:tcPr>
                <w:p w14:paraId="7BC130BF" w14:textId="77777777" w:rsidR="006F35D7" w:rsidRPr="006F35D7" w:rsidRDefault="006F35D7" w:rsidP="006F35D7">
                  <w:pPr>
                    <w:keepLines/>
                    <w:tabs>
                      <w:tab w:val="right" w:pos="3969"/>
                    </w:tabs>
                    <w:spacing w:before="60" w:after="60"/>
                    <w:rPr>
                      <w:rFonts w:cs="Arial"/>
                      <w:sz w:val="18"/>
                      <w:szCs w:val="20"/>
                    </w:rPr>
                  </w:pPr>
                  <w:r w:rsidRPr="006F35D7">
                    <w:rPr>
                      <w:rFonts w:cs="Arial"/>
                      <w:sz w:val="18"/>
                      <w:szCs w:val="20"/>
                    </w:rPr>
                    <w:t>saturated fatty acids</w:t>
                  </w:r>
                </w:p>
              </w:tc>
              <w:tc>
                <w:tcPr>
                  <w:tcW w:w="1087" w:type="dxa"/>
                  <w:tcBorders>
                    <w:top w:val="nil"/>
                    <w:left w:val="nil"/>
                    <w:bottom w:val="nil"/>
                    <w:right w:val="nil"/>
                  </w:tcBorders>
                </w:tcPr>
                <w:p w14:paraId="3D7806E6" w14:textId="77777777" w:rsidR="006F35D7" w:rsidRPr="006F35D7" w:rsidRDefault="006F35D7" w:rsidP="006F35D7">
                  <w:pPr>
                    <w:keepLines/>
                    <w:tabs>
                      <w:tab w:val="right" w:pos="3969"/>
                    </w:tabs>
                    <w:spacing w:before="60" w:after="60"/>
                    <w:jc w:val="right"/>
                    <w:rPr>
                      <w:rFonts w:cs="Arial"/>
                      <w:sz w:val="18"/>
                      <w:szCs w:val="20"/>
                    </w:rPr>
                  </w:pPr>
                  <w:r w:rsidRPr="006F35D7">
                    <w:rPr>
                      <w:rFonts w:cs="Arial"/>
                      <w:sz w:val="18"/>
                      <w:szCs w:val="20"/>
                    </w:rPr>
                    <w:t>24 g</w:t>
                  </w:r>
                </w:p>
              </w:tc>
            </w:tr>
            <w:tr w:rsidR="006F35D7" w:rsidRPr="006F35D7" w14:paraId="06698361" w14:textId="77777777" w:rsidTr="003B45EB">
              <w:trPr>
                <w:jc w:val="center"/>
              </w:trPr>
              <w:tc>
                <w:tcPr>
                  <w:tcW w:w="1267" w:type="dxa"/>
                  <w:tcBorders>
                    <w:top w:val="nil"/>
                    <w:left w:val="nil"/>
                    <w:bottom w:val="nil"/>
                    <w:right w:val="nil"/>
                  </w:tcBorders>
                </w:tcPr>
                <w:p w14:paraId="595F29FC" w14:textId="77777777" w:rsidR="006F35D7" w:rsidRPr="006F35D7" w:rsidRDefault="006F35D7" w:rsidP="006F35D7">
                  <w:pPr>
                    <w:keepLines/>
                    <w:tabs>
                      <w:tab w:val="right" w:pos="3969"/>
                    </w:tabs>
                    <w:spacing w:before="60" w:after="60"/>
                    <w:rPr>
                      <w:rFonts w:cs="Arial"/>
                      <w:sz w:val="18"/>
                      <w:szCs w:val="20"/>
                    </w:rPr>
                  </w:pPr>
                  <w:r w:rsidRPr="006F35D7">
                    <w:rPr>
                      <w:rFonts w:cs="Arial"/>
                      <w:sz w:val="18"/>
                      <w:szCs w:val="20"/>
                    </w:rPr>
                    <w:t>carbohydrate</w:t>
                  </w:r>
                </w:p>
              </w:tc>
              <w:tc>
                <w:tcPr>
                  <w:tcW w:w="1087" w:type="dxa"/>
                  <w:tcBorders>
                    <w:top w:val="nil"/>
                    <w:left w:val="nil"/>
                    <w:bottom w:val="nil"/>
                    <w:right w:val="nil"/>
                  </w:tcBorders>
                </w:tcPr>
                <w:p w14:paraId="32DA93EC" w14:textId="77777777" w:rsidR="006F35D7" w:rsidRPr="006F35D7" w:rsidRDefault="006F35D7" w:rsidP="006F35D7">
                  <w:pPr>
                    <w:keepLines/>
                    <w:tabs>
                      <w:tab w:val="right" w:pos="3969"/>
                    </w:tabs>
                    <w:spacing w:before="60" w:after="60"/>
                    <w:jc w:val="right"/>
                    <w:rPr>
                      <w:rFonts w:cs="Arial"/>
                      <w:sz w:val="18"/>
                      <w:szCs w:val="20"/>
                    </w:rPr>
                  </w:pPr>
                  <w:r w:rsidRPr="006F35D7">
                    <w:rPr>
                      <w:rFonts w:cs="Arial"/>
                      <w:sz w:val="18"/>
                      <w:szCs w:val="20"/>
                    </w:rPr>
                    <w:t>310 g</w:t>
                  </w:r>
                </w:p>
              </w:tc>
            </w:tr>
            <w:tr w:rsidR="006F35D7" w:rsidRPr="006F35D7" w14:paraId="641372DD" w14:textId="77777777" w:rsidTr="003B45EB">
              <w:trPr>
                <w:jc w:val="center"/>
              </w:trPr>
              <w:tc>
                <w:tcPr>
                  <w:tcW w:w="1267" w:type="dxa"/>
                  <w:tcBorders>
                    <w:top w:val="nil"/>
                    <w:left w:val="nil"/>
                    <w:bottom w:val="nil"/>
                    <w:right w:val="nil"/>
                  </w:tcBorders>
                </w:tcPr>
                <w:p w14:paraId="18E1CE06" w14:textId="77777777" w:rsidR="006F35D7" w:rsidRPr="006F35D7" w:rsidRDefault="006F35D7" w:rsidP="006F35D7">
                  <w:pPr>
                    <w:keepLines/>
                    <w:tabs>
                      <w:tab w:val="right" w:pos="3969"/>
                    </w:tabs>
                    <w:spacing w:before="60" w:after="60"/>
                    <w:rPr>
                      <w:rFonts w:cs="Arial"/>
                      <w:sz w:val="18"/>
                      <w:szCs w:val="20"/>
                    </w:rPr>
                  </w:pPr>
                  <w:r w:rsidRPr="006F35D7">
                    <w:rPr>
                      <w:rFonts w:cs="Arial"/>
                      <w:sz w:val="18"/>
                      <w:szCs w:val="20"/>
                    </w:rPr>
                    <w:t>sodium</w:t>
                  </w:r>
                </w:p>
              </w:tc>
              <w:tc>
                <w:tcPr>
                  <w:tcW w:w="1087" w:type="dxa"/>
                  <w:tcBorders>
                    <w:top w:val="nil"/>
                    <w:left w:val="nil"/>
                    <w:bottom w:val="nil"/>
                    <w:right w:val="nil"/>
                  </w:tcBorders>
                </w:tcPr>
                <w:p w14:paraId="29A96EFC" w14:textId="77777777" w:rsidR="006F35D7" w:rsidRPr="006F35D7" w:rsidRDefault="006F35D7" w:rsidP="006F35D7">
                  <w:pPr>
                    <w:keepLines/>
                    <w:tabs>
                      <w:tab w:val="right" w:pos="3969"/>
                    </w:tabs>
                    <w:spacing w:before="60" w:after="60"/>
                    <w:jc w:val="right"/>
                    <w:rPr>
                      <w:rFonts w:cs="Arial"/>
                      <w:sz w:val="18"/>
                      <w:szCs w:val="20"/>
                    </w:rPr>
                  </w:pPr>
                  <w:r w:rsidRPr="006F35D7">
                    <w:rPr>
                      <w:rFonts w:cs="Arial"/>
                      <w:sz w:val="18"/>
                      <w:szCs w:val="20"/>
                    </w:rPr>
                    <w:t>2 300 mg</w:t>
                  </w:r>
                </w:p>
              </w:tc>
            </w:tr>
            <w:tr w:rsidR="006F35D7" w:rsidRPr="006F35D7" w14:paraId="1CED7C89" w14:textId="77777777" w:rsidTr="003B45EB">
              <w:trPr>
                <w:jc w:val="center"/>
              </w:trPr>
              <w:tc>
                <w:tcPr>
                  <w:tcW w:w="1267" w:type="dxa"/>
                  <w:tcBorders>
                    <w:top w:val="nil"/>
                    <w:left w:val="nil"/>
                    <w:bottom w:val="nil"/>
                    <w:right w:val="nil"/>
                  </w:tcBorders>
                </w:tcPr>
                <w:p w14:paraId="592A86C3" w14:textId="77777777" w:rsidR="006F35D7" w:rsidRPr="006F35D7" w:rsidRDefault="006F35D7" w:rsidP="006F35D7">
                  <w:pPr>
                    <w:keepLines/>
                    <w:tabs>
                      <w:tab w:val="right" w:pos="3969"/>
                    </w:tabs>
                    <w:spacing w:before="60" w:after="60"/>
                    <w:rPr>
                      <w:rFonts w:cs="Arial"/>
                      <w:sz w:val="18"/>
                      <w:szCs w:val="20"/>
                    </w:rPr>
                  </w:pPr>
                  <w:r w:rsidRPr="006F35D7">
                    <w:rPr>
                      <w:rFonts w:cs="Arial"/>
                      <w:sz w:val="18"/>
                      <w:szCs w:val="20"/>
                    </w:rPr>
                    <w:t>sugars</w:t>
                  </w:r>
                </w:p>
              </w:tc>
              <w:tc>
                <w:tcPr>
                  <w:tcW w:w="1087" w:type="dxa"/>
                  <w:tcBorders>
                    <w:top w:val="nil"/>
                    <w:left w:val="nil"/>
                    <w:bottom w:val="nil"/>
                    <w:right w:val="nil"/>
                  </w:tcBorders>
                </w:tcPr>
                <w:p w14:paraId="4F80D80E" w14:textId="77777777" w:rsidR="006F35D7" w:rsidRPr="006F35D7" w:rsidRDefault="006F35D7" w:rsidP="006F35D7">
                  <w:pPr>
                    <w:keepLines/>
                    <w:tabs>
                      <w:tab w:val="right" w:pos="3969"/>
                    </w:tabs>
                    <w:spacing w:before="60" w:after="60"/>
                    <w:jc w:val="right"/>
                    <w:rPr>
                      <w:rFonts w:cs="Arial"/>
                      <w:sz w:val="18"/>
                      <w:szCs w:val="20"/>
                    </w:rPr>
                  </w:pPr>
                  <w:r w:rsidRPr="006F35D7">
                    <w:rPr>
                      <w:rFonts w:cs="Arial"/>
                      <w:sz w:val="18"/>
                      <w:szCs w:val="20"/>
                    </w:rPr>
                    <w:t>90 g</w:t>
                  </w:r>
                </w:p>
              </w:tc>
            </w:tr>
            <w:tr w:rsidR="006F35D7" w:rsidRPr="006F35D7" w14:paraId="26BE19E2" w14:textId="77777777" w:rsidTr="003B45EB">
              <w:trPr>
                <w:jc w:val="center"/>
              </w:trPr>
              <w:tc>
                <w:tcPr>
                  <w:tcW w:w="1267" w:type="dxa"/>
                  <w:tcBorders>
                    <w:top w:val="nil"/>
                    <w:left w:val="nil"/>
                    <w:right w:val="nil"/>
                  </w:tcBorders>
                </w:tcPr>
                <w:p w14:paraId="5DCF5960" w14:textId="77777777" w:rsidR="006F35D7" w:rsidRPr="006F35D7" w:rsidRDefault="006F35D7" w:rsidP="006F35D7">
                  <w:pPr>
                    <w:keepLines/>
                    <w:tabs>
                      <w:tab w:val="right" w:pos="3969"/>
                    </w:tabs>
                    <w:spacing w:before="60" w:after="60"/>
                    <w:rPr>
                      <w:rFonts w:cs="Arial"/>
                      <w:sz w:val="18"/>
                      <w:szCs w:val="20"/>
                    </w:rPr>
                  </w:pPr>
                  <w:r w:rsidRPr="006F35D7">
                    <w:rPr>
                      <w:rFonts w:cs="Arial"/>
                      <w:sz w:val="18"/>
                      <w:szCs w:val="20"/>
                    </w:rPr>
                    <w:t>dietary fibre (if  declared)</w:t>
                  </w:r>
                </w:p>
              </w:tc>
              <w:tc>
                <w:tcPr>
                  <w:tcW w:w="1087" w:type="dxa"/>
                  <w:tcBorders>
                    <w:top w:val="nil"/>
                    <w:left w:val="nil"/>
                    <w:right w:val="nil"/>
                  </w:tcBorders>
                </w:tcPr>
                <w:p w14:paraId="76A4AE42" w14:textId="77777777" w:rsidR="006F35D7" w:rsidRPr="006F35D7" w:rsidRDefault="006F35D7" w:rsidP="006F35D7">
                  <w:pPr>
                    <w:keepLines/>
                    <w:tabs>
                      <w:tab w:val="right" w:pos="3969"/>
                    </w:tabs>
                    <w:spacing w:before="60" w:after="60"/>
                    <w:jc w:val="right"/>
                    <w:rPr>
                      <w:rFonts w:cs="Arial"/>
                      <w:sz w:val="18"/>
                      <w:szCs w:val="20"/>
                    </w:rPr>
                  </w:pPr>
                  <w:r w:rsidRPr="006F35D7">
                    <w:rPr>
                      <w:rFonts w:cs="Arial"/>
                      <w:sz w:val="18"/>
                      <w:szCs w:val="20"/>
                    </w:rPr>
                    <w:t>30 g</w:t>
                  </w:r>
                </w:p>
              </w:tc>
            </w:tr>
          </w:tbl>
          <w:p w14:paraId="6AEFCA63" w14:textId="40783832" w:rsidR="006F35D7" w:rsidRDefault="006F35D7" w:rsidP="000B07D2">
            <w:pPr>
              <w:widowControl w:val="0"/>
              <w:tabs>
                <w:tab w:val="left" w:pos="1701"/>
              </w:tabs>
              <w:spacing w:before="60" w:after="60"/>
              <w:ind w:left="2268" w:hanging="2268"/>
            </w:pPr>
          </w:p>
        </w:tc>
        <w:tc>
          <w:tcPr>
            <w:tcW w:w="2209" w:type="pct"/>
          </w:tcPr>
          <w:p w14:paraId="55C693D8" w14:textId="770BBEE4" w:rsidR="006F35D7" w:rsidRPr="00A508FB" w:rsidRDefault="003B45EB" w:rsidP="00A508FB">
            <w:pPr>
              <w:pStyle w:val="Clauseheading"/>
              <w:rPr>
                <w:b w:val="0"/>
              </w:rPr>
            </w:pPr>
            <w:r w:rsidRPr="008D236C">
              <w:rPr>
                <w:b w:val="0"/>
              </w:rPr>
              <w:t xml:space="preserve">The percentage </w:t>
            </w:r>
            <w:r w:rsidR="00A508FB" w:rsidRPr="008D236C">
              <w:rPr>
                <w:b w:val="0"/>
              </w:rPr>
              <w:t xml:space="preserve">daily intake values provided by one serving of a food can voluntarily be provided </w:t>
            </w:r>
            <w:r w:rsidR="000B07D2" w:rsidRPr="008D236C">
              <w:rPr>
                <w:b w:val="0"/>
              </w:rPr>
              <w:t>on a food label and are</w:t>
            </w:r>
            <w:r w:rsidR="00A508FB" w:rsidRPr="008D236C">
              <w:rPr>
                <w:b w:val="0"/>
              </w:rPr>
              <w:t xml:space="preserve"> </w:t>
            </w:r>
            <w:r w:rsidRPr="008D236C">
              <w:rPr>
                <w:b w:val="0"/>
              </w:rPr>
              <w:t>calculated using</w:t>
            </w:r>
            <w:r w:rsidR="000B07D2" w:rsidRPr="008D236C">
              <w:rPr>
                <w:b w:val="0"/>
              </w:rPr>
              <w:t xml:space="preserve"> the amounts of nutrients </w:t>
            </w:r>
            <w:r w:rsidRPr="008D236C">
              <w:rPr>
                <w:b w:val="0"/>
              </w:rPr>
              <w:t>set out</w:t>
            </w:r>
            <w:r w:rsidR="000B07D2" w:rsidRPr="008D236C">
              <w:rPr>
                <w:b w:val="0"/>
              </w:rPr>
              <w:t xml:space="preserve"> in the NIP</w:t>
            </w:r>
            <w:r w:rsidRPr="008D236C">
              <w:rPr>
                <w:b w:val="0"/>
              </w:rPr>
              <w:t xml:space="preserve"> and the associated reference values in the Code</w:t>
            </w:r>
            <w:r w:rsidR="000B07D2" w:rsidRPr="008D236C">
              <w:rPr>
                <w:b w:val="0"/>
              </w:rPr>
              <w:t>. Therefore, s</w:t>
            </w:r>
            <w:r w:rsidR="00A508FB" w:rsidRPr="008D236C">
              <w:rPr>
                <w:b w:val="0"/>
              </w:rPr>
              <w:t>imilar to above, t</w:t>
            </w:r>
            <w:r w:rsidR="006F35D7" w:rsidRPr="008D236C">
              <w:rPr>
                <w:b w:val="0"/>
              </w:rPr>
              <w:t>he implicati</w:t>
            </w:r>
            <w:r w:rsidRPr="008D236C">
              <w:rPr>
                <w:b w:val="0"/>
              </w:rPr>
              <w:t xml:space="preserve">ons of the ‘added </w:t>
            </w:r>
            <w:r w:rsidR="00BB6EA3" w:rsidRPr="008D236C">
              <w:rPr>
                <w:b w:val="0"/>
              </w:rPr>
              <w:t>sugars’ and ‘added fats’ groups</w:t>
            </w:r>
            <w:r w:rsidR="006F35D7" w:rsidRPr="008D236C">
              <w:rPr>
                <w:b w:val="0"/>
              </w:rPr>
              <w:t xml:space="preserve"> in the statement of ingredients </w:t>
            </w:r>
            <w:r w:rsidR="00A508FB" w:rsidRPr="008D236C">
              <w:rPr>
                <w:b w:val="0"/>
              </w:rPr>
              <w:t xml:space="preserve">of a food, </w:t>
            </w:r>
            <w:r w:rsidR="00BB6EA3" w:rsidRPr="008D236C">
              <w:rPr>
                <w:b w:val="0"/>
              </w:rPr>
              <w:t>and</w:t>
            </w:r>
            <w:r w:rsidR="007E785B" w:rsidRPr="008D236C">
              <w:rPr>
                <w:b w:val="0"/>
              </w:rPr>
              <w:t xml:space="preserve"> the</w:t>
            </w:r>
            <w:r w:rsidR="006F35D7" w:rsidRPr="008D236C">
              <w:rPr>
                <w:b w:val="0"/>
              </w:rPr>
              <w:t xml:space="preserve"> </w:t>
            </w:r>
            <w:r w:rsidR="00A508FB" w:rsidRPr="008D236C">
              <w:rPr>
                <w:b w:val="0"/>
              </w:rPr>
              <w:t xml:space="preserve">percentage daily intake of sugar </w:t>
            </w:r>
            <w:r w:rsidRPr="008D236C">
              <w:rPr>
                <w:b w:val="0"/>
              </w:rPr>
              <w:t xml:space="preserve">and fat </w:t>
            </w:r>
            <w:r w:rsidR="007E785B" w:rsidRPr="008D236C">
              <w:rPr>
                <w:b w:val="0"/>
              </w:rPr>
              <w:t xml:space="preserve">(both based on total amounts) </w:t>
            </w:r>
            <w:r w:rsidR="00A508FB" w:rsidRPr="008D236C">
              <w:rPr>
                <w:b w:val="0"/>
              </w:rPr>
              <w:t xml:space="preserve">provided by one serving of that food </w:t>
            </w:r>
            <w:r w:rsidR="006F35D7" w:rsidRPr="008D236C">
              <w:rPr>
                <w:b w:val="0"/>
              </w:rPr>
              <w:t>in the NIP</w:t>
            </w:r>
            <w:r w:rsidR="00B41258" w:rsidRPr="008D236C">
              <w:rPr>
                <w:b w:val="0"/>
              </w:rPr>
              <w:t xml:space="preserve"> (if provided)</w:t>
            </w:r>
            <w:r w:rsidR="00A508FB" w:rsidRPr="008D236C">
              <w:rPr>
                <w:b w:val="0"/>
              </w:rPr>
              <w:t>,</w:t>
            </w:r>
            <w:r w:rsidR="006F35D7" w:rsidRPr="008D236C">
              <w:rPr>
                <w:b w:val="0"/>
              </w:rPr>
              <w:t xml:space="preserve"> would also need to be considered.</w:t>
            </w:r>
            <w:r w:rsidR="006F35D7" w:rsidRPr="00A508FB">
              <w:rPr>
                <w:b w:val="0"/>
              </w:rPr>
              <w:t xml:space="preserve"> </w:t>
            </w:r>
          </w:p>
          <w:p w14:paraId="3E22A0CF" w14:textId="77777777" w:rsidR="006F35D7" w:rsidRPr="00A508FB" w:rsidRDefault="006F35D7" w:rsidP="006F35D7">
            <w:pPr>
              <w:pStyle w:val="Clauseheading"/>
              <w:rPr>
                <w:b w:val="0"/>
              </w:rPr>
            </w:pPr>
          </w:p>
          <w:p w14:paraId="0C342524" w14:textId="160BBB85" w:rsidR="006F35D7" w:rsidRDefault="006F35D7" w:rsidP="00A508FB">
            <w:pPr>
              <w:rPr>
                <w:sz w:val="20"/>
                <w:szCs w:val="20"/>
              </w:rPr>
            </w:pPr>
          </w:p>
        </w:tc>
      </w:tr>
      <w:tr w:rsidR="008C603C" w14:paraId="5DEA08C9" w14:textId="77777777" w:rsidTr="006F35D7">
        <w:tc>
          <w:tcPr>
            <w:tcW w:w="581" w:type="pct"/>
          </w:tcPr>
          <w:p w14:paraId="721B7B3D" w14:textId="45A1F4C7" w:rsidR="008C603C" w:rsidRPr="00041997" w:rsidRDefault="008C603C" w:rsidP="003623F4">
            <w:pPr>
              <w:rPr>
                <w:sz w:val="20"/>
                <w:szCs w:val="20"/>
              </w:rPr>
            </w:pPr>
            <w:r w:rsidRPr="00041997">
              <w:rPr>
                <w:sz w:val="20"/>
                <w:szCs w:val="20"/>
              </w:rPr>
              <w:lastRenderedPageBreak/>
              <w:t>Standard 2.4.1 – Edible Oils</w:t>
            </w:r>
          </w:p>
        </w:tc>
        <w:tc>
          <w:tcPr>
            <w:tcW w:w="2210" w:type="pct"/>
          </w:tcPr>
          <w:p w14:paraId="2BE9D8E2" w14:textId="77777777" w:rsidR="008C603C" w:rsidRDefault="008C603C" w:rsidP="00746BCF">
            <w:pPr>
              <w:rPr>
                <w:sz w:val="20"/>
                <w:szCs w:val="20"/>
              </w:rPr>
            </w:pPr>
            <w:r w:rsidRPr="00746BCF">
              <w:rPr>
                <w:b/>
                <w:sz w:val="20"/>
                <w:szCs w:val="20"/>
              </w:rPr>
              <w:t>Process declaration for edible oils</w:t>
            </w:r>
            <w:r w:rsidRPr="00746BCF">
              <w:rPr>
                <w:sz w:val="20"/>
                <w:szCs w:val="20"/>
              </w:rPr>
              <w:t xml:space="preserve"> </w:t>
            </w:r>
          </w:p>
          <w:p w14:paraId="7E618112" w14:textId="453228AC" w:rsidR="008C603C" w:rsidRPr="00746BCF" w:rsidRDefault="008C603C" w:rsidP="00746BCF">
            <w:pPr>
              <w:rPr>
                <w:sz w:val="20"/>
                <w:szCs w:val="20"/>
              </w:rPr>
            </w:pPr>
            <w:r>
              <w:rPr>
                <w:sz w:val="20"/>
                <w:szCs w:val="20"/>
              </w:rPr>
              <w:t>(section 2.4.1</w:t>
            </w:r>
            <w:r>
              <w:rPr>
                <w:rFonts w:cs="Arial"/>
                <w:sz w:val="20"/>
                <w:szCs w:val="20"/>
              </w:rPr>
              <w:t>―4</w:t>
            </w:r>
            <w:r w:rsidRPr="00746BCF">
              <w:rPr>
                <w:sz w:val="20"/>
                <w:szCs w:val="20"/>
              </w:rPr>
              <w:t>)</w:t>
            </w:r>
          </w:p>
          <w:p w14:paraId="32014058" w14:textId="77777777" w:rsidR="008C603C" w:rsidRDefault="008C603C" w:rsidP="00E548CD">
            <w:pPr>
              <w:rPr>
                <w:sz w:val="20"/>
                <w:szCs w:val="20"/>
              </w:rPr>
            </w:pPr>
          </w:p>
          <w:p w14:paraId="57DC911D" w14:textId="500CD474" w:rsidR="008C603C" w:rsidRDefault="008C603C" w:rsidP="00E548CD">
            <w:pPr>
              <w:rPr>
                <w:sz w:val="20"/>
                <w:szCs w:val="20"/>
              </w:rPr>
            </w:pPr>
            <w:r>
              <w:rPr>
                <w:sz w:val="20"/>
                <w:szCs w:val="20"/>
              </w:rPr>
              <w:t>For the labelling provisions, if:</w:t>
            </w:r>
          </w:p>
          <w:p w14:paraId="545D499A" w14:textId="4C283591" w:rsidR="008C603C" w:rsidRDefault="008C603C" w:rsidP="00376235">
            <w:pPr>
              <w:pStyle w:val="ListParagraph"/>
              <w:numPr>
                <w:ilvl w:val="0"/>
                <w:numId w:val="13"/>
              </w:numPr>
              <w:spacing w:after="60"/>
              <w:ind w:left="612" w:hanging="567"/>
              <w:contextualSpacing w:val="0"/>
              <w:rPr>
                <w:sz w:val="20"/>
                <w:szCs w:val="20"/>
              </w:rPr>
            </w:pPr>
            <w:r w:rsidRPr="00E548CD">
              <w:rPr>
                <w:sz w:val="20"/>
                <w:szCs w:val="20"/>
              </w:rPr>
              <w:t>If a food is, or has an ingredient, an edible oil</w:t>
            </w:r>
            <w:r>
              <w:rPr>
                <w:sz w:val="20"/>
                <w:szCs w:val="20"/>
              </w:rPr>
              <w:t>;</w:t>
            </w:r>
            <w:r w:rsidRPr="00E548CD">
              <w:rPr>
                <w:sz w:val="20"/>
                <w:szCs w:val="20"/>
              </w:rPr>
              <w:t xml:space="preserve"> </w:t>
            </w:r>
            <w:r>
              <w:rPr>
                <w:sz w:val="20"/>
                <w:szCs w:val="20"/>
              </w:rPr>
              <w:t>and</w:t>
            </w:r>
          </w:p>
          <w:p w14:paraId="735BEE9B" w14:textId="40C2322F" w:rsidR="008C603C" w:rsidRDefault="008C603C" w:rsidP="00376235">
            <w:pPr>
              <w:pStyle w:val="ListParagraph"/>
              <w:numPr>
                <w:ilvl w:val="0"/>
                <w:numId w:val="13"/>
              </w:numPr>
              <w:spacing w:after="60"/>
              <w:ind w:left="612" w:hanging="567"/>
              <w:contextualSpacing w:val="0"/>
              <w:rPr>
                <w:sz w:val="20"/>
                <w:szCs w:val="20"/>
              </w:rPr>
            </w:pPr>
            <w:r>
              <w:rPr>
                <w:sz w:val="20"/>
                <w:szCs w:val="20"/>
              </w:rPr>
              <w:t xml:space="preserve">the label lists the </w:t>
            </w:r>
            <w:r w:rsidRPr="00E548CD">
              <w:rPr>
                <w:sz w:val="20"/>
                <w:szCs w:val="20"/>
              </w:rPr>
              <w:t>specific source</w:t>
            </w:r>
            <w:r>
              <w:rPr>
                <w:sz w:val="20"/>
                <w:szCs w:val="20"/>
              </w:rPr>
              <w:t xml:space="preserve"> name of the oil; and</w:t>
            </w:r>
          </w:p>
          <w:p w14:paraId="59B87B22" w14:textId="6D7871CE" w:rsidR="008C603C" w:rsidRDefault="008C603C" w:rsidP="00376235">
            <w:pPr>
              <w:pStyle w:val="ListParagraph"/>
              <w:numPr>
                <w:ilvl w:val="0"/>
                <w:numId w:val="13"/>
              </w:numPr>
              <w:spacing w:after="120"/>
              <w:ind w:left="613" w:hanging="567"/>
              <w:rPr>
                <w:sz w:val="20"/>
                <w:szCs w:val="20"/>
              </w:rPr>
            </w:pPr>
            <w:r>
              <w:rPr>
                <w:sz w:val="20"/>
                <w:szCs w:val="20"/>
              </w:rPr>
              <w:t>the oil has undergone a process that has altered its fatty acid composition,</w:t>
            </w:r>
          </w:p>
          <w:p w14:paraId="2E4856C2" w14:textId="77777777" w:rsidR="008C603C" w:rsidRDefault="008C603C" w:rsidP="00E548CD">
            <w:pPr>
              <w:ind w:left="360"/>
              <w:rPr>
                <w:sz w:val="20"/>
                <w:szCs w:val="20"/>
              </w:rPr>
            </w:pPr>
            <w:r>
              <w:rPr>
                <w:sz w:val="20"/>
                <w:szCs w:val="20"/>
              </w:rPr>
              <w:t xml:space="preserve">the required process declaration is </w:t>
            </w:r>
            <w:r w:rsidRPr="00E548CD">
              <w:rPr>
                <w:sz w:val="20"/>
                <w:szCs w:val="20"/>
              </w:rPr>
              <w:t>a statement that describes the</w:t>
            </w:r>
            <w:r>
              <w:rPr>
                <w:sz w:val="20"/>
                <w:szCs w:val="20"/>
              </w:rPr>
              <w:t xml:space="preserve"> nature of that process</w:t>
            </w:r>
            <w:r w:rsidRPr="00E548CD">
              <w:rPr>
                <w:sz w:val="20"/>
                <w:szCs w:val="20"/>
              </w:rPr>
              <w:t>.</w:t>
            </w:r>
          </w:p>
          <w:p w14:paraId="162D2A92" w14:textId="77777777" w:rsidR="008C603C" w:rsidRDefault="008C603C" w:rsidP="00376235">
            <w:pPr>
              <w:rPr>
                <w:sz w:val="20"/>
                <w:szCs w:val="20"/>
              </w:rPr>
            </w:pPr>
          </w:p>
          <w:p w14:paraId="5DC6F2FC" w14:textId="77777777" w:rsidR="008C603C" w:rsidRDefault="008C603C" w:rsidP="00376235">
            <w:pPr>
              <w:rPr>
                <w:sz w:val="20"/>
                <w:szCs w:val="20"/>
              </w:rPr>
            </w:pPr>
            <w:r w:rsidRPr="00376235">
              <w:rPr>
                <w:b/>
                <w:i/>
                <w:sz w:val="20"/>
                <w:szCs w:val="20"/>
              </w:rPr>
              <w:t>Note 1</w:t>
            </w:r>
            <w:r>
              <w:rPr>
                <w:sz w:val="20"/>
                <w:szCs w:val="20"/>
              </w:rPr>
              <w:t xml:space="preserve"> An example of a process that alters the fatty acid composition of fatty acids in edible oil is the process of hydrogenation.</w:t>
            </w:r>
          </w:p>
          <w:p w14:paraId="70443079" w14:textId="28350C7F" w:rsidR="008C603C" w:rsidRPr="00B8206A" w:rsidRDefault="008C603C" w:rsidP="00376235">
            <w:pPr>
              <w:rPr>
                <w:lang w:bidi="en-US"/>
              </w:rPr>
            </w:pPr>
            <w:r w:rsidRPr="00E548CD">
              <w:rPr>
                <w:sz w:val="20"/>
                <w:szCs w:val="20"/>
              </w:rPr>
              <w:t xml:space="preserve">  </w:t>
            </w:r>
          </w:p>
        </w:tc>
        <w:tc>
          <w:tcPr>
            <w:tcW w:w="2209" w:type="pct"/>
          </w:tcPr>
          <w:p w14:paraId="54DFE710" w14:textId="55C97151" w:rsidR="00BE1E92" w:rsidRDefault="008C603C" w:rsidP="00BE1E92">
            <w:pPr>
              <w:spacing w:before="20" w:after="20"/>
              <w:rPr>
                <w:rFonts w:cs="Arial"/>
                <w:sz w:val="20"/>
                <w:szCs w:val="20"/>
              </w:rPr>
            </w:pPr>
            <w:r>
              <w:rPr>
                <w:sz w:val="20"/>
                <w:szCs w:val="20"/>
              </w:rPr>
              <w:t xml:space="preserve">This requirement would need to be considered as Recommendation 12 indicates that the specific source name of added vegetable oils would be required to be declared instead of the existing generic name. If the specified vegetable oil has also undergone a process that has altered its fatty acid composition </w:t>
            </w:r>
            <w:r w:rsidR="00B41258">
              <w:rPr>
                <w:sz w:val="20"/>
                <w:szCs w:val="20"/>
              </w:rPr>
              <w:t>(e.g. hydrogenation), then all three</w:t>
            </w:r>
            <w:r>
              <w:rPr>
                <w:sz w:val="20"/>
                <w:szCs w:val="20"/>
              </w:rPr>
              <w:t xml:space="preserve"> of the existing conditions (i.e. (a), (b) and (c)) would apply to the vegetable oil and an additional statement that describes the nature of the process would be required. As such, the existing declaration requirement could apply more broadly to food labels than is currently the case. </w:t>
            </w:r>
            <w:r w:rsidR="00BE1E92">
              <w:rPr>
                <w:rFonts w:cs="Arial"/>
                <w:sz w:val="20"/>
                <w:szCs w:val="20"/>
              </w:rPr>
              <w:t>The implications of this requirement, such as the potential to further increase the length of the statement of ingredients, would need to be considered.</w:t>
            </w:r>
          </w:p>
          <w:p w14:paraId="33B74656" w14:textId="0054EB9F" w:rsidR="008C603C" w:rsidRDefault="008C603C" w:rsidP="00D24A66">
            <w:pPr>
              <w:rPr>
                <w:sz w:val="20"/>
                <w:szCs w:val="20"/>
              </w:rPr>
            </w:pPr>
          </w:p>
          <w:p w14:paraId="03047ADC" w14:textId="4A45E7CB" w:rsidR="008C603C" w:rsidRPr="002D1CE7" w:rsidRDefault="008C603C" w:rsidP="00A22B3C">
            <w:pPr>
              <w:rPr>
                <w:sz w:val="20"/>
                <w:szCs w:val="20"/>
              </w:rPr>
            </w:pPr>
          </w:p>
        </w:tc>
      </w:tr>
    </w:tbl>
    <w:p w14:paraId="17E25E04" w14:textId="77777777" w:rsidR="00134124" w:rsidRDefault="00134124" w:rsidP="009C37D3">
      <w:pPr>
        <w:pStyle w:val="Heading2"/>
        <w:sectPr w:rsidR="00134124" w:rsidSect="00134124">
          <w:pgSz w:w="16838" w:h="11906" w:orient="landscape"/>
          <w:pgMar w:top="1418" w:right="1418" w:bottom="1418" w:left="1418" w:header="709" w:footer="709" w:gutter="0"/>
          <w:cols w:space="708"/>
          <w:docGrid w:linePitch="360"/>
        </w:sectPr>
      </w:pPr>
    </w:p>
    <w:p w14:paraId="2B414B94" w14:textId="6472F9F6" w:rsidR="00EB7F50" w:rsidRDefault="004E373B" w:rsidP="009C37D3">
      <w:pPr>
        <w:pStyle w:val="Heading1"/>
      </w:pPr>
      <w:bookmarkStart w:id="12" w:name="_Toc451937486"/>
      <w:r>
        <w:lastRenderedPageBreak/>
        <w:t>3</w:t>
      </w:r>
      <w:r>
        <w:tab/>
      </w:r>
      <w:r w:rsidR="00E54E9C">
        <w:t>References</w:t>
      </w:r>
      <w:bookmarkEnd w:id="12"/>
    </w:p>
    <w:p w14:paraId="3B319FA4" w14:textId="57006C82" w:rsidR="009C5782" w:rsidRDefault="009C5782" w:rsidP="009C5782">
      <w:r>
        <w:t xml:space="preserve">FDA (2016) Food Labeling: Revision of the Nutrition and </w:t>
      </w:r>
      <w:r w:rsidRPr="003A12A9">
        <w:rPr>
          <w:rFonts w:cs="Arial"/>
          <w:color w:val="000000"/>
          <w:lang w:val="en-NZ"/>
        </w:rPr>
        <w:t xml:space="preserve">Supplements Facts Label. US Food and Drug Administration. </w:t>
      </w:r>
      <w:r>
        <w:rPr>
          <w:rFonts w:cs="Arial"/>
          <w:color w:val="000000"/>
          <w:lang w:val="en-NZ"/>
        </w:rPr>
        <w:t xml:space="preserve">Federal Register, Public Inspection: Rule </w:t>
      </w:r>
      <w:hyperlink r:id="rId18" w:history="1">
        <w:r>
          <w:rPr>
            <w:rStyle w:val="Hyperlink"/>
          </w:rPr>
          <w:t>https://federalregister.gov/a/2016-11867</w:t>
        </w:r>
      </w:hyperlink>
      <w:r>
        <w:t xml:space="preserve"> </w:t>
      </w:r>
      <w:r w:rsidRPr="00E12D80">
        <w:t>Accessed 27 May 2016</w:t>
      </w:r>
    </w:p>
    <w:p w14:paraId="2493D370" w14:textId="1B29BC4E" w:rsidR="00016AB1" w:rsidRDefault="00016AB1" w:rsidP="00E54E9C"/>
    <w:p w14:paraId="376764CB" w14:textId="2B0FD1CA" w:rsidR="00561CBF" w:rsidRDefault="00561CBF" w:rsidP="00E54E9C">
      <w:pPr>
        <w:rPr>
          <w:lang w:val="en"/>
        </w:rPr>
      </w:pPr>
      <w:r>
        <w:t xml:space="preserve">Health Canada (2015) </w:t>
      </w:r>
      <w:r w:rsidRPr="00561CBF">
        <w:rPr>
          <w:lang w:val="en"/>
        </w:rPr>
        <w:t>Regulations Amending the Food and Drug Regulations — Nutrition Labelling, Other Labelling Provisions and Food Colours</w:t>
      </w:r>
      <w:r>
        <w:rPr>
          <w:lang w:val="en"/>
        </w:rPr>
        <w:t>. Can</w:t>
      </w:r>
      <w:r w:rsidR="0044313B">
        <w:rPr>
          <w:lang w:val="en"/>
        </w:rPr>
        <w:t>a</w:t>
      </w:r>
      <w:r>
        <w:rPr>
          <w:lang w:val="en"/>
        </w:rPr>
        <w:t xml:space="preserve">da Gazette Vol 149, No 24 </w:t>
      </w:r>
      <w:hyperlink r:id="rId19" w:history="1">
        <w:r w:rsidRPr="00DF4B7A">
          <w:rPr>
            <w:rStyle w:val="Hyperlink"/>
            <w:lang w:val="en"/>
          </w:rPr>
          <w:t>http://www.gazette.gc.ca/rp-pr/p1/2015/2015-06-13/html/reg1-eng.php</w:t>
        </w:r>
      </w:hyperlink>
      <w:r>
        <w:rPr>
          <w:lang w:val="en"/>
        </w:rPr>
        <w:t xml:space="preserve"> Accessed 27 April 2016</w:t>
      </w:r>
    </w:p>
    <w:p w14:paraId="72F98ABB" w14:textId="77777777" w:rsidR="00561CBF" w:rsidRDefault="00561CBF" w:rsidP="00E54E9C"/>
    <w:p w14:paraId="6608D957" w14:textId="00E3F737" w:rsidR="00B90424" w:rsidRDefault="00EA5511" w:rsidP="00E54E9C">
      <w:pPr>
        <w:rPr>
          <w:color w:val="FF0000"/>
          <w:lang w:val="en-NZ"/>
        </w:rPr>
      </w:pPr>
      <w:r>
        <w:t xml:space="preserve">WHO (2015) Guideline: Sugars intake for adults and children. Geneva: World Health Organization </w:t>
      </w:r>
      <w:hyperlink r:id="rId20" w:history="1">
        <w:r w:rsidR="00D53DFC" w:rsidRPr="00734E75">
          <w:rPr>
            <w:rStyle w:val="Hyperlink"/>
            <w:lang w:val="en-NZ"/>
          </w:rPr>
          <w:t>http://www.who.int/nutrition/publications/guidelines/sugars_intake/en/</w:t>
        </w:r>
      </w:hyperlink>
      <w:r w:rsidR="00D53DFC">
        <w:rPr>
          <w:lang w:val="en-NZ"/>
        </w:rPr>
        <w:t xml:space="preserve"> </w:t>
      </w:r>
      <w:r w:rsidR="00D53DFC" w:rsidRPr="006D1F66">
        <w:rPr>
          <w:lang w:val="en-NZ"/>
        </w:rPr>
        <w:t>Accessed</w:t>
      </w:r>
      <w:r w:rsidR="006D1F66" w:rsidRPr="006D1F66">
        <w:rPr>
          <w:lang w:val="en-NZ"/>
        </w:rPr>
        <w:t xml:space="preserve"> 27 April 2016</w:t>
      </w:r>
      <w:r w:rsidR="00D53DFC" w:rsidRPr="006D1F66">
        <w:rPr>
          <w:lang w:val="en-NZ"/>
        </w:rPr>
        <w:t xml:space="preserve"> </w:t>
      </w:r>
    </w:p>
    <w:p w14:paraId="7E15C2A9" w14:textId="09CE728F" w:rsidR="00EA5511" w:rsidRDefault="00EA5511" w:rsidP="00E54E9C">
      <w:pPr>
        <w:rPr>
          <w:b/>
        </w:rPr>
      </w:pPr>
    </w:p>
    <w:p w14:paraId="755CF275" w14:textId="77777777" w:rsidR="00EA5511" w:rsidRDefault="00EA5511" w:rsidP="00E54E9C">
      <w:pPr>
        <w:rPr>
          <w:b/>
        </w:rPr>
      </w:pPr>
    </w:p>
    <w:sectPr w:rsidR="00EA5511" w:rsidSect="00134124">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436E4E" w15:done="0"/>
  <w15:commentEx w15:paraId="4C3C1014" w15:done="0"/>
  <w15:commentEx w15:paraId="3741B804" w15:done="0"/>
  <w15:commentEx w15:paraId="663D85FF" w15:done="0"/>
  <w15:commentEx w15:paraId="6F3D48BE" w15:done="0"/>
  <w15:commentEx w15:paraId="700B1AC0" w15:done="0"/>
  <w15:commentEx w15:paraId="080DEA62" w15:done="0"/>
  <w15:commentEx w15:paraId="3626A220" w15:done="0"/>
  <w15:commentEx w15:paraId="03266EAF" w15:done="0"/>
  <w15:commentEx w15:paraId="262D4E7C" w15:done="0"/>
  <w15:commentEx w15:paraId="76D09A5C" w15:done="0"/>
  <w15:commentEx w15:paraId="46BFB05A" w15:done="0"/>
  <w15:commentEx w15:paraId="1321959D" w15:done="0"/>
  <w15:commentEx w15:paraId="3BBEA11A" w15:done="0"/>
  <w15:commentEx w15:paraId="25256544" w15:done="0"/>
  <w15:commentEx w15:paraId="5BCD701A" w15:done="0"/>
  <w15:commentEx w15:paraId="1B3728A8" w15:done="0"/>
  <w15:commentEx w15:paraId="416B5BE7" w15:done="0"/>
  <w15:commentEx w15:paraId="4EB17A9E" w15:done="0"/>
  <w15:commentEx w15:paraId="2487AC8B" w15:done="0"/>
  <w15:commentEx w15:paraId="03F3174F" w15:done="0"/>
  <w15:commentEx w15:paraId="0A2AABC8" w15:done="0"/>
  <w15:commentEx w15:paraId="090F636A" w15:done="0"/>
  <w15:commentEx w15:paraId="211A2FEA" w15:done="0"/>
  <w15:commentEx w15:paraId="04ACFA8E" w15:done="0"/>
  <w15:commentEx w15:paraId="689CEF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65E16" w14:textId="77777777" w:rsidR="004B2D5A" w:rsidRDefault="004B2D5A" w:rsidP="00132A3F">
      <w:r>
        <w:separator/>
      </w:r>
    </w:p>
  </w:endnote>
  <w:endnote w:type="continuationSeparator" w:id="0">
    <w:p w14:paraId="606C80C3" w14:textId="77777777" w:rsidR="004B2D5A" w:rsidRDefault="004B2D5A" w:rsidP="00132A3F">
      <w:r>
        <w:continuationSeparator/>
      </w:r>
    </w:p>
  </w:endnote>
  <w:endnote w:type="continuationNotice" w:id="1">
    <w:p w14:paraId="09A6398C" w14:textId="77777777" w:rsidR="004B2D5A" w:rsidRDefault="004B2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F2FA8" w14:textId="77777777" w:rsidR="004B2D5A" w:rsidRDefault="004B2D5A" w:rsidP="003623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93FDDA" w14:textId="77777777" w:rsidR="004B2D5A" w:rsidRDefault="004B2D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8CCDC" w14:textId="77777777" w:rsidR="004B2D5A" w:rsidRDefault="004B2D5A" w:rsidP="003623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2F19">
      <w:rPr>
        <w:rStyle w:val="PageNumber"/>
        <w:noProof/>
      </w:rPr>
      <w:t>2</w:t>
    </w:r>
    <w:r>
      <w:rPr>
        <w:rStyle w:val="PageNumber"/>
      </w:rPr>
      <w:fldChar w:fldCharType="end"/>
    </w:r>
  </w:p>
  <w:p w14:paraId="1197C920" w14:textId="77777777" w:rsidR="004B2D5A" w:rsidRDefault="004B2D5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0B4A1" w14:textId="77777777" w:rsidR="004B2D5A" w:rsidRDefault="004B2D5A" w:rsidP="00132A3F">
      <w:r>
        <w:separator/>
      </w:r>
    </w:p>
  </w:footnote>
  <w:footnote w:type="continuationSeparator" w:id="0">
    <w:p w14:paraId="7304D5BE" w14:textId="77777777" w:rsidR="004B2D5A" w:rsidRDefault="004B2D5A" w:rsidP="00132A3F">
      <w:r>
        <w:continuationSeparator/>
      </w:r>
    </w:p>
  </w:footnote>
  <w:footnote w:type="continuationNotice" w:id="1">
    <w:p w14:paraId="6A59E990" w14:textId="77777777" w:rsidR="004B2D5A" w:rsidRDefault="004B2D5A"/>
  </w:footnote>
  <w:footnote w:id="2">
    <w:p w14:paraId="52D537B8" w14:textId="77777777" w:rsidR="004B2D5A" w:rsidRPr="00C04F48" w:rsidRDefault="004B2D5A" w:rsidP="00C04F48">
      <w:pPr>
        <w:rPr>
          <w:sz w:val="18"/>
          <w:szCs w:val="18"/>
        </w:rPr>
      </w:pPr>
      <w:r>
        <w:rPr>
          <w:rStyle w:val="FootnoteReference"/>
        </w:rPr>
        <w:footnoteRef/>
      </w:r>
      <w:r>
        <w:t xml:space="preserve"> </w:t>
      </w:r>
      <w:r>
        <w:rPr>
          <w:lang w:val="en-AU"/>
        </w:rPr>
        <w:t>‘</w:t>
      </w:r>
      <w:r w:rsidRPr="00C04F48">
        <w:rPr>
          <w:sz w:val="18"/>
          <w:szCs w:val="18"/>
          <w:lang w:val="en-AU"/>
        </w:rPr>
        <w:t xml:space="preserve">free sugars’ means </w:t>
      </w:r>
      <w:r w:rsidRPr="00C04F48">
        <w:rPr>
          <w:i/>
          <w:sz w:val="18"/>
          <w:szCs w:val="18"/>
        </w:rPr>
        <w:t>monosaccharides and disaccharides added to foods and beverages by the manufacturer, cook or consumer, and sugars naturally present in honey, syrups, fruit juices and fruit juice concentrates</w:t>
      </w:r>
      <w:r w:rsidRPr="00C04F48">
        <w:rPr>
          <w:sz w:val="18"/>
          <w:szCs w:val="18"/>
        </w:rPr>
        <w:t xml:space="preserve">.  </w:t>
      </w:r>
    </w:p>
    <w:p w14:paraId="790EC798" w14:textId="099922B5" w:rsidR="004B2D5A" w:rsidRPr="00C04F48" w:rsidRDefault="004B2D5A">
      <w:pPr>
        <w:pStyle w:val="FootnoteText"/>
        <w:rPr>
          <w:lang w:val="en-AU"/>
        </w:rPr>
      </w:pPr>
    </w:p>
  </w:footnote>
  <w:footnote w:id="3">
    <w:p w14:paraId="2007700B" w14:textId="38B7E1DD" w:rsidR="0073345E" w:rsidRPr="0073345E" w:rsidRDefault="004B2D5A" w:rsidP="0073345E">
      <w:pPr>
        <w:autoSpaceDE w:val="0"/>
        <w:autoSpaceDN w:val="0"/>
        <w:adjustRightInd w:val="0"/>
        <w:rPr>
          <w:rFonts w:cs="Arial"/>
          <w:i/>
          <w:sz w:val="18"/>
          <w:szCs w:val="18"/>
          <w:lang w:val="en"/>
        </w:rPr>
      </w:pPr>
      <w:r>
        <w:rPr>
          <w:rStyle w:val="FootnoteReference"/>
        </w:rPr>
        <w:footnoteRef/>
      </w:r>
      <w:r>
        <w:t xml:space="preserve"> </w:t>
      </w:r>
      <w:r>
        <w:rPr>
          <w:sz w:val="18"/>
          <w:szCs w:val="18"/>
        </w:rPr>
        <w:t xml:space="preserve">‘added sugars’ are </w:t>
      </w:r>
      <w:r w:rsidR="0073345E" w:rsidRPr="0073345E">
        <w:rPr>
          <w:rFonts w:eastAsia="Times New Roman" w:cs="Arial"/>
          <w:i/>
          <w:color w:val="333333"/>
          <w:sz w:val="18"/>
          <w:szCs w:val="18"/>
          <w:lang w:val="en"/>
        </w:rPr>
        <w:t xml:space="preserve">either added </w:t>
      </w:r>
      <w:r w:rsidR="0073345E" w:rsidRPr="0073345E">
        <w:rPr>
          <w:rFonts w:eastAsia="Times New Roman" w:cs="Arial"/>
          <w:i/>
          <w:sz w:val="18"/>
          <w:szCs w:val="18"/>
        </w:rPr>
        <w:t xml:space="preserve">during the processing of  foods, or are packaged as such, and include sugars (free, mono- and di-saccharides), sugars from syrups and honey, and sugars from concentrated fruit or vegetable juices that are in excess of what would be expected from the same volume of </w:t>
      </w:r>
      <w:r w:rsidR="0073345E" w:rsidRPr="0073345E">
        <w:rPr>
          <w:rFonts w:cs="Arial"/>
          <w:i/>
          <w:sz w:val="18"/>
          <w:szCs w:val="18"/>
          <w:lang w:val="en-NZ"/>
        </w:rPr>
        <w:t>100 percent fruit or vegetable juice of the same type, except that fruit or vegetable juice concentrated from 100 percent juices sold to consumers, fruit or vegetable juice concentrates used towards the total juice percentage label declaration under § 101.30 or for Brix standardization under § 102.33(g)(2) of this chapter, fruit juice concentrates which are used to formulate the fruit component of jellies, jams, or preserves in accordance with the standard of identities set forth in §§ 150.140 and 150.160 of this chapter, or the fruit component of fruit spreads shall not be labeled as added sugars.</w:t>
      </w:r>
    </w:p>
    <w:p w14:paraId="0B70F971" w14:textId="20C809C2" w:rsidR="004B2D5A" w:rsidRDefault="00527FA3" w:rsidP="0073345E">
      <w:pPr>
        <w:rPr>
          <w:sz w:val="18"/>
          <w:szCs w:val="18"/>
          <w:lang w:val="en-AU"/>
        </w:rPr>
      </w:pPr>
      <w:r>
        <w:rPr>
          <w:sz w:val="18"/>
          <w:szCs w:val="18"/>
          <w:lang w:val="en-AU"/>
        </w:rPr>
        <w:t xml:space="preserve">(Note: </w:t>
      </w:r>
      <w:r w:rsidRPr="00527FA3">
        <w:rPr>
          <w:sz w:val="18"/>
          <w:szCs w:val="18"/>
          <w:lang w:val="en-AU"/>
        </w:rPr>
        <w:t>references to other sections of the chapter are contained in the Code of Federal Regulations (CFR), Title 21 – Food and Drugs, Chapter I</w:t>
      </w:r>
      <w:r>
        <w:rPr>
          <w:sz w:val="18"/>
          <w:szCs w:val="18"/>
          <w:lang w:val="en-AU"/>
        </w:rPr>
        <w:t>)</w:t>
      </w:r>
    </w:p>
    <w:p w14:paraId="352B143F" w14:textId="77777777" w:rsidR="00527FA3" w:rsidRPr="00527FA3" w:rsidRDefault="00527FA3" w:rsidP="0073345E">
      <w:pPr>
        <w:rPr>
          <w:sz w:val="18"/>
          <w:szCs w:val="18"/>
          <w:lang w:val="en-AU"/>
        </w:rPr>
      </w:pPr>
    </w:p>
  </w:footnote>
  <w:footnote w:id="4">
    <w:p w14:paraId="7EDE3CC2" w14:textId="77777777" w:rsidR="004B2D5A" w:rsidRDefault="004B2D5A" w:rsidP="00722924">
      <w:pPr>
        <w:ind w:left="284" w:hanging="284"/>
        <w:rPr>
          <w:rFonts w:eastAsia="Times New Roman" w:cs="Arial"/>
          <w:sz w:val="18"/>
          <w:szCs w:val="18"/>
          <w:lang w:val="en" w:eastAsia="en-NZ"/>
        </w:rPr>
      </w:pPr>
      <w:r>
        <w:rPr>
          <w:rStyle w:val="FootnoteReference"/>
        </w:rPr>
        <w:footnoteRef/>
      </w:r>
      <w:r>
        <w:rPr>
          <w:rFonts w:eastAsia="Times New Roman" w:cs="Arial"/>
          <w:sz w:val="18"/>
          <w:szCs w:val="18"/>
          <w:lang w:val="en" w:eastAsia="en-NZ"/>
        </w:rPr>
        <w:t xml:space="preserve">  ‘sugars-based ingredients’ means:</w:t>
      </w:r>
    </w:p>
    <w:p w14:paraId="2ECDD145" w14:textId="77777777" w:rsidR="004B2D5A" w:rsidRPr="00C50627" w:rsidRDefault="004B2D5A" w:rsidP="00722924">
      <w:pPr>
        <w:rPr>
          <w:rFonts w:eastAsia="Times New Roman" w:cs="Arial"/>
          <w:i/>
          <w:sz w:val="18"/>
          <w:szCs w:val="18"/>
          <w:lang w:val="en" w:eastAsia="en-NZ"/>
        </w:rPr>
      </w:pPr>
      <w:r w:rsidRPr="00C50627">
        <w:rPr>
          <w:rFonts w:eastAsia="Times New Roman" w:cs="Arial"/>
          <w:sz w:val="18"/>
          <w:szCs w:val="18"/>
          <w:lang w:val="en" w:eastAsia="en-NZ"/>
        </w:rPr>
        <w:t>(</w:t>
      </w:r>
      <w:r w:rsidRPr="00C50627">
        <w:rPr>
          <w:rFonts w:eastAsia="Times New Roman" w:cs="Arial"/>
          <w:i/>
          <w:iCs/>
          <w:sz w:val="18"/>
          <w:szCs w:val="18"/>
          <w:lang w:val="en" w:eastAsia="en-NZ"/>
        </w:rPr>
        <w:t>a</w:t>
      </w:r>
      <w:r w:rsidRPr="00C50627">
        <w:rPr>
          <w:rFonts w:eastAsia="Times New Roman" w:cs="Arial"/>
          <w:i/>
          <w:sz w:val="18"/>
          <w:szCs w:val="18"/>
          <w:lang w:val="en" w:eastAsia="en-NZ"/>
        </w:rPr>
        <w:t>) an ingredient that is a monosaccharide or disaccharide or a combination of these;</w:t>
      </w:r>
    </w:p>
    <w:p w14:paraId="28E20209" w14:textId="77777777" w:rsidR="004B2D5A" w:rsidRPr="00C50627" w:rsidRDefault="004B2D5A" w:rsidP="00722924">
      <w:pPr>
        <w:spacing w:before="30" w:after="60"/>
        <w:rPr>
          <w:rFonts w:eastAsia="Times New Roman" w:cs="Arial"/>
          <w:i/>
          <w:sz w:val="18"/>
          <w:szCs w:val="18"/>
          <w:lang w:val="en" w:eastAsia="en-NZ"/>
        </w:rPr>
      </w:pPr>
      <w:r w:rsidRPr="00C50627">
        <w:rPr>
          <w:rFonts w:eastAsia="Times New Roman" w:cs="Arial"/>
          <w:i/>
          <w:sz w:val="18"/>
          <w:szCs w:val="18"/>
          <w:lang w:val="en" w:eastAsia="en-NZ"/>
        </w:rPr>
        <w:t>(</w:t>
      </w:r>
      <w:r w:rsidRPr="00C50627">
        <w:rPr>
          <w:rFonts w:eastAsia="Times New Roman" w:cs="Arial"/>
          <w:i/>
          <w:iCs/>
          <w:sz w:val="18"/>
          <w:szCs w:val="18"/>
          <w:lang w:val="en" w:eastAsia="en-NZ"/>
        </w:rPr>
        <w:t>b</w:t>
      </w:r>
      <w:r w:rsidRPr="00C50627">
        <w:rPr>
          <w:rFonts w:eastAsia="Times New Roman" w:cs="Arial"/>
          <w:i/>
          <w:sz w:val="18"/>
          <w:szCs w:val="18"/>
          <w:lang w:val="en" w:eastAsia="en-NZ"/>
        </w:rPr>
        <w:t>) an ingredient that is a sweetening agent other than one referred to in paragraph (</w:t>
      </w:r>
      <w:r w:rsidRPr="00C50627">
        <w:rPr>
          <w:rFonts w:eastAsia="Times New Roman" w:cs="Arial"/>
          <w:i/>
          <w:iCs/>
          <w:sz w:val="18"/>
          <w:szCs w:val="18"/>
          <w:lang w:val="en" w:eastAsia="en-NZ"/>
        </w:rPr>
        <w:t>a</w:t>
      </w:r>
      <w:r w:rsidRPr="00C50627">
        <w:rPr>
          <w:rFonts w:eastAsia="Times New Roman" w:cs="Arial"/>
          <w:i/>
          <w:sz w:val="18"/>
          <w:szCs w:val="18"/>
          <w:lang w:val="en" w:eastAsia="en-NZ"/>
        </w:rPr>
        <w:t>); and</w:t>
      </w:r>
    </w:p>
    <w:p w14:paraId="0174CF11" w14:textId="77777777" w:rsidR="004B2D5A" w:rsidRPr="00C50627" w:rsidRDefault="004B2D5A" w:rsidP="00722924">
      <w:pPr>
        <w:spacing w:before="30" w:after="60"/>
        <w:rPr>
          <w:rFonts w:eastAsia="Times New Roman" w:cs="Arial"/>
          <w:i/>
          <w:sz w:val="18"/>
          <w:szCs w:val="18"/>
          <w:lang w:val="en" w:eastAsia="en-NZ"/>
        </w:rPr>
      </w:pPr>
      <w:r w:rsidRPr="00C50627">
        <w:rPr>
          <w:rFonts w:eastAsia="Times New Roman" w:cs="Arial"/>
          <w:i/>
          <w:sz w:val="18"/>
          <w:szCs w:val="18"/>
          <w:lang w:val="en" w:eastAsia="en-NZ"/>
        </w:rPr>
        <w:t>(</w:t>
      </w:r>
      <w:r w:rsidRPr="00C50627">
        <w:rPr>
          <w:rFonts w:eastAsia="Times New Roman" w:cs="Arial"/>
          <w:i/>
          <w:iCs/>
          <w:sz w:val="18"/>
          <w:szCs w:val="18"/>
          <w:lang w:val="en" w:eastAsia="en-NZ"/>
        </w:rPr>
        <w:t>c</w:t>
      </w:r>
      <w:r w:rsidRPr="00C50627">
        <w:rPr>
          <w:rFonts w:eastAsia="Times New Roman" w:cs="Arial"/>
          <w:i/>
          <w:sz w:val="18"/>
          <w:szCs w:val="18"/>
          <w:lang w:val="en" w:eastAsia="en-NZ"/>
        </w:rPr>
        <w:t xml:space="preserve">) any other ingredient that contains one or more sugars and that is added to the product as a functional      substitute for a sweetening agent; </w:t>
      </w:r>
    </w:p>
    <w:p w14:paraId="793870B3" w14:textId="77777777" w:rsidR="004B2D5A" w:rsidRPr="00C50627" w:rsidRDefault="004B2D5A" w:rsidP="00722924">
      <w:pPr>
        <w:spacing w:before="30" w:after="60"/>
        <w:rPr>
          <w:rFonts w:cs="Arial"/>
          <w:i/>
          <w:sz w:val="18"/>
          <w:szCs w:val="18"/>
          <w:lang w:val="en"/>
        </w:rPr>
      </w:pPr>
      <w:r w:rsidRPr="00C50627">
        <w:rPr>
          <w:rFonts w:cs="Arial"/>
          <w:i/>
          <w:sz w:val="18"/>
          <w:szCs w:val="18"/>
          <w:lang w:val="en"/>
        </w:rPr>
        <w:t>“functional substitute for a sweetening agent” means, in respect of a prepackaged product, a food — other than any sweetener or sweetening agent, including any sugars — that replaces a sweetening agent and that has one or more of the functions of the sweetening agent including, sweetening, thi</w:t>
      </w:r>
      <w:r>
        <w:rPr>
          <w:rFonts w:cs="Arial"/>
          <w:i/>
          <w:sz w:val="18"/>
          <w:szCs w:val="18"/>
          <w:lang w:val="en"/>
        </w:rPr>
        <w:t>ckening, texturing or browning.</w:t>
      </w:r>
    </w:p>
    <w:p w14:paraId="054885B5" w14:textId="77777777" w:rsidR="004B2D5A" w:rsidRPr="00C50627" w:rsidRDefault="004B2D5A" w:rsidP="00722924">
      <w:pPr>
        <w:pStyle w:val="FootnoteText"/>
        <w:rPr>
          <w:lang w:val="en-A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A43"/>
    <w:multiLevelType w:val="hybridMultilevel"/>
    <w:tmpl w:val="E204540C"/>
    <w:lvl w:ilvl="0" w:tplc="AD449218">
      <w:start w:val="1"/>
      <w:numFmt w:val="lowerLetter"/>
      <w:lvlText w:val="(%1)"/>
      <w:lvlJc w:val="left"/>
      <w:pPr>
        <w:ind w:left="720" w:hanging="360"/>
      </w:pPr>
      <w:rPr>
        <w:rFonts w:ascii="Arial" w:eastAsiaTheme="minorHAnsi" w:hAnsi="Arial" w:cstheme="minorBid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3CF4CB4"/>
    <w:multiLevelType w:val="hybridMultilevel"/>
    <w:tmpl w:val="AC34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885023"/>
    <w:multiLevelType w:val="hybridMultilevel"/>
    <w:tmpl w:val="60180ED6"/>
    <w:lvl w:ilvl="0" w:tplc="6AD6ECFE">
      <w:start w:val="10"/>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
    <w:nsid w:val="0AEF2394"/>
    <w:multiLevelType w:val="hybridMultilevel"/>
    <w:tmpl w:val="B99622A6"/>
    <w:lvl w:ilvl="0" w:tplc="0712C0DE">
      <w:start w:val="1"/>
      <w:numFmt w:val="lowerLetter"/>
      <w:lvlText w:val="(%1)"/>
      <w:lvlJc w:val="left"/>
      <w:pPr>
        <w:ind w:left="677" w:hanging="360"/>
      </w:pPr>
      <w:rPr>
        <w:rFonts w:hint="default"/>
      </w:rPr>
    </w:lvl>
    <w:lvl w:ilvl="1" w:tplc="14090019" w:tentative="1">
      <w:start w:val="1"/>
      <w:numFmt w:val="lowerLetter"/>
      <w:lvlText w:val="%2."/>
      <w:lvlJc w:val="left"/>
      <w:pPr>
        <w:ind w:left="1397" w:hanging="360"/>
      </w:pPr>
    </w:lvl>
    <w:lvl w:ilvl="2" w:tplc="1409001B" w:tentative="1">
      <w:start w:val="1"/>
      <w:numFmt w:val="lowerRoman"/>
      <w:lvlText w:val="%3."/>
      <w:lvlJc w:val="right"/>
      <w:pPr>
        <w:ind w:left="2117" w:hanging="180"/>
      </w:pPr>
    </w:lvl>
    <w:lvl w:ilvl="3" w:tplc="1409000F" w:tentative="1">
      <w:start w:val="1"/>
      <w:numFmt w:val="decimal"/>
      <w:lvlText w:val="%4."/>
      <w:lvlJc w:val="left"/>
      <w:pPr>
        <w:ind w:left="2837" w:hanging="360"/>
      </w:pPr>
    </w:lvl>
    <w:lvl w:ilvl="4" w:tplc="14090019" w:tentative="1">
      <w:start w:val="1"/>
      <w:numFmt w:val="lowerLetter"/>
      <w:lvlText w:val="%5."/>
      <w:lvlJc w:val="left"/>
      <w:pPr>
        <w:ind w:left="3557" w:hanging="360"/>
      </w:pPr>
    </w:lvl>
    <w:lvl w:ilvl="5" w:tplc="1409001B" w:tentative="1">
      <w:start w:val="1"/>
      <w:numFmt w:val="lowerRoman"/>
      <w:lvlText w:val="%6."/>
      <w:lvlJc w:val="right"/>
      <w:pPr>
        <w:ind w:left="4277" w:hanging="180"/>
      </w:pPr>
    </w:lvl>
    <w:lvl w:ilvl="6" w:tplc="1409000F" w:tentative="1">
      <w:start w:val="1"/>
      <w:numFmt w:val="decimal"/>
      <w:lvlText w:val="%7."/>
      <w:lvlJc w:val="left"/>
      <w:pPr>
        <w:ind w:left="4997" w:hanging="360"/>
      </w:pPr>
    </w:lvl>
    <w:lvl w:ilvl="7" w:tplc="14090019" w:tentative="1">
      <w:start w:val="1"/>
      <w:numFmt w:val="lowerLetter"/>
      <w:lvlText w:val="%8."/>
      <w:lvlJc w:val="left"/>
      <w:pPr>
        <w:ind w:left="5717" w:hanging="360"/>
      </w:pPr>
    </w:lvl>
    <w:lvl w:ilvl="8" w:tplc="1409001B" w:tentative="1">
      <w:start w:val="1"/>
      <w:numFmt w:val="lowerRoman"/>
      <w:lvlText w:val="%9."/>
      <w:lvlJc w:val="right"/>
      <w:pPr>
        <w:ind w:left="6437" w:hanging="180"/>
      </w:pPr>
    </w:lvl>
  </w:abstractNum>
  <w:abstractNum w:abstractNumId="4">
    <w:nsid w:val="0BB00DD1"/>
    <w:multiLevelType w:val="hybridMultilevel"/>
    <w:tmpl w:val="010ECD32"/>
    <w:lvl w:ilvl="0" w:tplc="6482323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77808EE"/>
    <w:multiLevelType w:val="hybridMultilevel"/>
    <w:tmpl w:val="94B46908"/>
    <w:lvl w:ilvl="0" w:tplc="14090001">
      <w:start w:val="1"/>
      <w:numFmt w:val="bullet"/>
      <w:lvlText w:val=""/>
      <w:lvlJc w:val="left"/>
      <w:pPr>
        <w:ind w:left="788" w:hanging="360"/>
      </w:pPr>
      <w:rPr>
        <w:rFonts w:ascii="Symbol" w:hAnsi="Symbol"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6">
    <w:nsid w:val="1809442E"/>
    <w:multiLevelType w:val="hybridMultilevel"/>
    <w:tmpl w:val="D226A7C6"/>
    <w:lvl w:ilvl="0" w:tplc="227681E0">
      <w:start w:val="1"/>
      <w:numFmt w:val="bullet"/>
      <w:lvlText w:val="-"/>
      <w:lvlJc w:val="left"/>
      <w:pPr>
        <w:ind w:left="1080" w:hanging="360"/>
      </w:pPr>
      <w:rPr>
        <w:rFonts w:ascii="Arial" w:eastAsiaTheme="minorHAns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nsid w:val="189C4C51"/>
    <w:multiLevelType w:val="hybridMultilevel"/>
    <w:tmpl w:val="F61C4C6A"/>
    <w:lvl w:ilvl="0" w:tplc="86306E0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1A2245E7"/>
    <w:multiLevelType w:val="hybridMultilevel"/>
    <w:tmpl w:val="D8167664"/>
    <w:lvl w:ilvl="0" w:tplc="12C0D548">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nsid w:val="1C2624D5"/>
    <w:multiLevelType w:val="hybridMultilevel"/>
    <w:tmpl w:val="2236DACE"/>
    <w:lvl w:ilvl="0" w:tplc="9C38AA6A">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0">
    <w:nsid w:val="1FE70FC1"/>
    <w:multiLevelType w:val="hybridMultilevel"/>
    <w:tmpl w:val="6B82D4E2"/>
    <w:lvl w:ilvl="0" w:tplc="E02447DE">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nsid w:val="21B67422"/>
    <w:multiLevelType w:val="hybridMultilevel"/>
    <w:tmpl w:val="68D412A4"/>
    <w:lvl w:ilvl="0" w:tplc="87BE121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6873A71"/>
    <w:multiLevelType w:val="hybridMultilevel"/>
    <w:tmpl w:val="88D25642"/>
    <w:lvl w:ilvl="0" w:tplc="5316E2A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2A89164C"/>
    <w:multiLevelType w:val="hybridMultilevel"/>
    <w:tmpl w:val="2CAC0932"/>
    <w:lvl w:ilvl="0" w:tplc="7F52E9A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31FA70C2"/>
    <w:multiLevelType w:val="hybridMultilevel"/>
    <w:tmpl w:val="C4A0EBB4"/>
    <w:lvl w:ilvl="0" w:tplc="EBF26C58">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5">
    <w:nsid w:val="34444508"/>
    <w:multiLevelType w:val="hybridMultilevel"/>
    <w:tmpl w:val="5DDAEF20"/>
    <w:lvl w:ilvl="0" w:tplc="89060A96">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nsid w:val="35BA5BDA"/>
    <w:multiLevelType w:val="hybridMultilevel"/>
    <w:tmpl w:val="A7F63B36"/>
    <w:lvl w:ilvl="0" w:tplc="4F920CAC">
      <w:start w:val="2"/>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7">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B99679E"/>
    <w:multiLevelType w:val="singleLevel"/>
    <w:tmpl w:val="7832B752"/>
    <w:lvl w:ilvl="0">
      <w:start w:val="1"/>
      <w:numFmt w:val="bullet"/>
      <w:pStyle w:val="ISCbulleted"/>
      <w:lvlText w:val=""/>
      <w:lvlJc w:val="left"/>
      <w:pPr>
        <w:tabs>
          <w:tab w:val="num" w:pos="360"/>
        </w:tabs>
        <w:ind w:left="360" w:hanging="360"/>
      </w:pPr>
      <w:rPr>
        <w:rFonts w:ascii="Symbol" w:hAnsi="Symbol" w:hint="default"/>
        <w:sz w:val="16"/>
      </w:rPr>
    </w:lvl>
  </w:abstractNum>
  <w:abstractNum w:abstractNumId="19">
    <w:nsid w:val="4F583668"/>
    <w:multiLevelType w:val="hybridMultilevel"/>
    <w:tmpl w:val="3536CD70"/>
    <w:lvl w:ilvl="0" w:tplc="FB904ECA">
      <w:start w:val="2"/>
      <w:numFmt w:val="decimal"/>
      <w:lvlText w:val="(%1)"/>
      <w:lvlJc w:val="left"/>
      <w:pPr>
        <w:ind w:left="972" w:hanging="360"/>
      </w:pPr>
      <w:rPr>
        <w:rFonts w:cstheme="minorBidi" w:hint="default"/>
      </w:rPr>
    </w:lvl>
    <w:lvl w:ilvl="1" w:tplc="14090019" w:tentative="1">
      <w:start w:val="1"/>
      <w:numFmt w:val="lowerLetter"/>
      <w:lvlText w:val="%2."/>
      <w:lvlJc w:val="left"/>
      <w:pPr>
        <w:ind w:left="1692" w:hanging="360"/>
      </w:pPr>
    </w:lvl>
    <w:lvl w:ilvl="2" w:tplc="1409001B" w:tentative="1">
      <w:start w:val="1"/>
      <w:numFmt w:val="lowerRoman"/>
      <w:lvlText w:val="%3."/>
      <w:lvlJc w:val="right"/>
      <w:pPr>
        <w:ind w:left="2412" w:hanging="180"/>
      </w:pPr>
    </w:lvl>
    <w:lvl w:ilvl="3" w:tplc="1409000F" w:tentative="1">
      <w:start w:val="1"/>
      <w:numFmt w:val="decimal"/>
      <w:lvlText w:val="%4."/>
      <w:lvlJc w:val="left"/>
      <w:pPr>
        <w:ind w:left="3132" w:hanging="360"/>
      </w:pPr>
    </w:lvl>
    <w:lvl w:ilvl="4" w:tplc="14090019" w:tentative="1">
      <w:start w:val="1"/>
      <w:numFmt w:val="lowerLetter"/>
      <w:lvlText w:val="%5."/>
      <w:lvlJc w:val="left"/>
      <w:pPr>
        <w:ind w:left="3852" w:hanging="360"/>
      </w:pPr>
    </w:lvl>
    <w:lvl w:ilvl="5" w:tplc="1409001B" w:tentative="1">
      <w:start w:val="1"/>
      <w:numFmt w:val="lowerRoman"/>
      <w:lvlText w:val="%6."/>
      <w:lvlJc w:val="right"/>
      <w:pPr>
        <w:ind w:left="4572" w:hanging="180"/>
      </w:pPr>
    </w:lvl>
    <w:lvl w:ilvl="6" w:tplc="1409000F" w:tentative="1">
      <w:start w:val="1"/>
      <w:numFmt w:val="decimal"/>
      <w:lvlText w:val="%7."/>
      <w:lvlJc w:val="left"/>
      <w:pPr>
        <w:ind w:left="5292" w:hanging="360"/>
      </w:pPr>
    </w:lvl>
    <w:lvl w:ilvl="7" w:tplc="14090019" w:tentative="1">
      <w:start w:val="1"/>
      <w:numFmt w:val="lowerLetter"/>
      <w:lvlText w:val="%8."/>
      <w:lvlJc w:val="left"/>
      <w:pPr>
        <w:ind w:left="6012" w:hanging="360"/>
      </w:pPr>
    </w:lvl>
    <w:lvl w:ilvl="8" w:tplc="1409001B" w:tentative="1">
      <w:start w:val="1"/>
      <w:numFmt w:val="lowerRoman"/>
      <w:lvlText w:val="%9."/>
      <w:lvlJc w:val="right"/>
      <w:pPr>
        <w:ind w:left="6732" w:hanging="180"/>
      </w:pPr>
    </w:lvl>
  </w:abstractNum>
  <w:abstractNum w:abstractNumId="2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74A03F0"/>
    <w:multiLevelType w:val="hybridMultilevel"/>
    <w:tmpl w:val="056A23CA"/>
    <w:lvl w:ilvl="0" w:tplc="46DE1BEE">
      <w:start w:val="1"/>
      <w:numFmt w:val="decimal"/>
      <w:lvlText w:val="%1)"/>
      <w:lvlJc w:val="left"/>
      <w:pPr>
        <w:ind w:left="720" w:hanging="360"/>
      </w:pPr>
      <w:rPr>
        <w:rFonts w:ascii="Arial" w:eastAsiaTheme="minorHAnsi" w:hAnsi="Arial" w:cstheme="minorBid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8D24A0E"/>
    <w:multiLevelType w:val="hybridMultilevel"/>
    <w:tmpl w:val="9AE0F1D2"/>
    <w:lvl w:ilvl="0" w:tplc="1A3EFF8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5BF62FC6"/>
    <w:multiLevelType w:val="hybridMultilevel"/>
    <w:tmpl w:val="C2FA7ECA"/>
    <w:lvl w:ilvl="0" w:tplc="A79225A6">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4">
    <w:nsid w:val="5DA84E69"/>
    <w:multiLevelType w:val="multilevel"/>
    <w:tmpl w:val="98D46FEA"/>
    <w:lvl w:ilvl="0">
      <w:start w:val="1"/>
      <w:numFmt w:val="decimal"/>
      <w:lvlText w:val="%1."/>
      <w:lvlJc w:val="left"/>
      <w:pPr>
        <w:ind w:left="4613"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nsid w:val="5FF03F01"/>
    <w:multiLevelType w:val="hybridMultilevel"/>
    <w:tmpl w:val="1AB62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1357AEB"/>
    <w:multiLevelType w:val="hybridMultilevel"/>
    <w:tmpl w:val="BCF6A40E"/>
    <w:lvl w:ilvl="0" w:tplc="C48CE65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698B35BF"/>
    <w:multiLevelType w:val="hybridMultilevel"/>
    <w:tmpl w:val="B420A454"/>
    <w:lvl w:ilvl="0" w:tplc="7772EB4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699121F1"/>
    <w:multiLevelType w:val="hybridMultilevel"/>
    <w:tmpl w:val="E964453E"/>
    <w:lvl w:ilvl="0" w:tplc="D0BC6854">
      <w:start w:val="1"/>
      <w:numFmt w:val="upperLetter"/>
      <w:lvlText w:val="(%1)"/>
      <w:lvlJc w:val="left"/>
      <w:pPr>
        <w:ind w:left="1063" w:hanging="360"/>
      </w:pPr>
      <w:rPr>
        <w:rFonts w:hint="default"/>
      </w:rPr>
    </w:lvl>
    <w:lvl w:ilvl="1" w:tplc="14090019" w:tentative="1">
      <w:start w:val="1"/>
      <w:numFmt w:val="lowerLetter"/>
      <w:lvlText w:val="%2."/>
      <w:lvlJc w:val="left"/>
      <w:pPr>
        <w:ind w:left="1783" w:hanging="360"/>
      </w:pPr>
    </w:lvl>
    <w:lvl w:ilvl="2" w:tplc="1409001B" w:tentative="1">
      <w:start w:val="1"/>
      <w:numFmt w:val="lowerRoman"/>
      <w:lvlText w:val="%3."/>
      <w:lvlJc w:val="right"/>
      <w:pPr>
        <w:ind w:left="2503" w:hanging="180"/>
      </w:pPr>
    </w:lvl>
    <w:lvl w:ilvl="3" w:tplc="1409000F" w:tentative="1">
      <w:start w:val="1"/>
      <w:numFmt w:val="decimal"/>
      <w:lvlText w:val="%4."/>
      <w:lvlJc w:val="left"/>
      <w:pPr>
        <w:ind w:left="3223" w:hanging="360"/>
      </w:pPr>
    </w:lvl>
    <w:lvl w:ilvl="4" w:tplc="14090019" w:tentative="1">
      <w:start w:val="1"/>
      <w:numFmt w:val="lowerLetter"/>
      <w:lvlText w:val="%5."/>
      <w:lvlJc w:val="left"/>
      <w:pPr>
        <w:ind w:left="3943" w:hanging="360"/>
      </w:pPr>
    </w:lvl>
    <w:lvl w:ilvl="5" w:tplc="1409001B" w:tentative="1">
      <w:start w:val="1"/>
      <w:numFmt w:val="lowerRoman"/>
      <w:lvlText w:val="%6."/>
      <w:lvlJc w:val="right"/>
      <w:pPr>
        <w:ind w:left="4663" w:hanging="180"/>
      </w:pPr>
    </w:lvl>
    <w:lvl w:ilvl="6" w:tplc="1409000F" w:tentative="1">
      <w:start w:val="1"/>
      <w:numFmt w:val="decimal"/>
      <w:lvlText w:val="%7."/>
      <w:lvlJc w:val="left"/>
      <w:pPr>
        <w:ind w:left="5383" w:hanging="360"/>
      </w:pPr>
    </w:lvl>
    <w:lvl w:ilvl="7" w:tplc="14090019" w:tentative="1">
      <w:start w:val="1"/>
      <w:numFmt w:val="lowerLetter"/>
      <w:lvlText w:val="%8."/>
      <w:lvlJc w:val="left"/>
      <w:pPr>
        <w:ind w:left="6103" w:hanging="360"/>
      </w:pPr>
    </w:lvl>
    <w:lvl w:ilvl="8" w:tplc="1409001B" w:tentative="1">
      <w:start w:val="1"/>
      <w:numFmt w:val="lowerRoman"/>
      <w:lvlText w:val="%9."/>
      <w:lvlJc w:val="right"/>
      <w:pPr>
        <w:ind w:left="6823" w:hanging="180"/>
      </w:pPr>
    </w:lvl>
  </w:abstractNum>
  <w:abstractNum w:abstractNumId="29">
    <w:nsid w:val="6B6D7535"/>
    <w:multiLevelType w:val="hybridMultilevel"/>
    <w:tmpl w:val="B302F96E"/>
    <w:lvl w:ilvl="0" w:tplc="E5E40BFA">
      <w:start w:val="1"/>
      <w:numFmt w:val="bullet"/>
      <w:lvlText w:val="-"/>
      <w:lvlJc w:val="left"/>
      <w:pPr>
        <w:ind w:left="972" w:hanging="360"/>
      </w:pPr>
      <w:rPr>
        <w:rFonts w:ascii="Arial" w:eastAsiaTheme="minorHAnsi" w:hAnsi="Arial" w:cs="Arial" w:hint="default"/>
      </w:rPr>
    </w:lvl>
    <w:lvl w:ilvl="1" w:tplc="14090003" w:tentative="1">
      <w:start w:val="1"/>
      <w:numFmt w:val="bullet"/>
      <w:lvlText w:val="o"/>
      <w:lvlJc w:val="left"/>
      <w:pPr>
        <w:ind w:left="1692" w:hanging="360"/>
      </w:pPr>
      <w:rPr>
        <w:rFonts w:ascii="Courier New" w:hAnsi="Courier New" w:cs="Courier New" w:hint="default"/>
      </w:rPr>
    </w:lvl>
    <w:lvl w:ilvl="2" w:tplc="14090005" w:tentative="1">
      <w:start w:val="1"/>
      <w:numFmt w:val="bullet"/>
      <w:lvlText w:val=""/>
      <w:lvlJc w:val="left"/>
      <w:pPr>
        <w:ind w:left="2412" w:hanging="360"/>
      </w:pPr>
      <w:rPr>
        <w:rFonts w:ascii="Wingdings" w:hAnsi="Wingdings" w:hint="default"/>
      </w:rPr>
    </w:lvl>
    <w:lvl w:ilvl="3" w:tplc="14090001" w:tentative="1">
      <w:start w:val="1"/>
      <w:numFmt w:val="bullet"/>
      <w:lvlText w:val=""/>
      <w:lvlJc w:val="left"/>
      <w:pPr>
        <w:ind w:left="3132" w:hanging="360"/>
      </w:pPr>
      <w:rPr>
        <w:rFonts w:ascii="Symbol" w:hAnsi="Symbol" w:hint="default"/>
      </w:rPr>
    </w:lvl>
    <w:lvl w:ilvl="4" w:tplc="14090003" w:tentative="1">
      <w:start w:val="1"/>
      <w:numFmt w:val="bullet"/>
      <w:lvlText w:val="o"/>
      <w:lvlJc w:val="left"/>
      <w:pPr>
        <w:ind w:left="3852" w:hanging="360"/>
      </w:pPr>
      <w:rPr>
        <w:rFonts w:ascii="Courier New" w:hAnsi="Courier New" w:cs="Courier New" w:hint="default"/>
      </w:rPr>
    </w:lvl>
    <w:lvl w:ilvl="5" w:tplc="14090005" w:tentative="1">
      <w:start w:val="1"/>
      <w:numFmt w:val="bullet"/>
      <w:lvlText w:val=""/>
      <w:lvlJc w:val="left"/>
      <w:pPr>
        <w:ind w:left="4572" w:hanging="360"/>
      </w:pPr>
      <w:rPr>
        <w:rFonts w:ascii="Wingdings" w:hAnsi="Wingdings" w:hint="default"/>
      </w:rPr>
    </w:lvl>
    <w:lvl w:ilvl="6" w:tplc="14090001" w:tentative="1">
      <w:start w:val="1"/>
      <w:numFmt w:val="bullet"/>
      <w:lvlText w:val=""/>
      <w:lvlJc w:val="left"/>
      <w:pPr>
        <w:ind w:left="5292" w:hanging="360"/>
      </w:pPr>
      <w:rPr>
        <w:rFonts w:ascii="Symbol" w:hAnsi="Symbol" w:hint="default"/>
      </w:rPr>
    </w:lvl>
    <w:lvl w:ilvl="7" w:tplc="14090003" w:tentative="1">
      <w:start w:val="1"/>
      <w:numFmt w:val="bullet"/>
      <w:lvlText w:val="o"/>
      <w:lvlJc w:val="left"/>
      <w:pPr>
        <w:ind w:left="6012" w:hanging="360"/>
      </w:pPr>
      <w:rPr>
        <w:rFonts w:ascii="Courier New" w:hAnsi="Courier New" w:cs="Courier New" w:hint="default"/>
      </w:rPr>
    </w:lvl>
    <w:lvl w:ilvl="8" w:tplc="14090005" w:tentative="1">
      <w:start w:val="1"/>
      <w:numFmt w:val="bullet"/>
      <w:lvlText w:val=""/>
      <w:lvlJc w:val="left"/>
      <w:pPr>
        <w:ind w:left="6732" w:hanging="360"/>
      </w:pPr>
      <w:rPr>
        <w:rFonts w:ascii="Wingdings" w:hAnsi="Wingdings" w:hint="default"/>
      </w:rPr>
    </w:lvl>
  </w:abstractNum>
  <w:abstractNum w:abstractNumId="30">
    <w:nsid w:val="6D011C91"/>
    <w:multiLevelType w:val="hybridMultilevel"/>
    <w:tmpl w:val="EC82F4B0"/>
    <w:lvl w:ilvl="0" w:tplc="94A62028">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6D372F43"/>
    <w:multiLevelType w:val="hybridMultilevel"/>
    <w:tmpl w:val="BD28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755AD1"/>
    <w:multiLevelType w:val="hybridMultilevel"/>
    <w:tmpl w:val="407E9A48"/>
    <w:lvl w:ilvl="0" w:tplc="EEB42172">
      <w:start w:val="1"/>
      <w:numFmt w:val="bullet"/>
      <w:pStyle w:val="FSBullet1"/>
      <w:lvlText w:val=""/>
      <w:lvlJc w:val="left"/>
      <w:pPr>
        <w:ind w:left="2912"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3">
    <w:nsid w:val="726E44E9"/>
    <w:multiLevelType w:val="hybridMultilevel"/>
    <w:tmpl w:val="A760AF9E"/>
    <w:lvl w:ilvl="0" w:tplc="DCAC3D3C">
      <w:start w:val="1"/>
      <w:numFmt w:val="lowerRoman"/>
      <w:lvlText w:val="(%1)"/>
      <w:lvlJc w:val="left"/>
      <w:pPr>
        <w:ind w:left="1571" w:hanging="720"/>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34">
    <w:nsid w:val="796037B4"/>
    <w:multiLevelType w:val="hybridMultilevel"/>
    <w:tmpl w:val="1526990A"/>
    <w:lvl w:ilvl="0" w:tplc="C24219DA">
      <w:start w:val="1"/>
      <w:numFmt w:val="lowerRoman"/>
      <w:lvlText w:val="(%1)"/>
      <w:lvlJc w:val="left"/>
      <w:pPr>
        <w:ind w:left="720" w:hanging="360"/>
      </w:pPr>
      <w:rPr>
        <w:rFonts w:ascii="Arial" w:eastAsia="Times New Roman" w:hAnsi="Arial" w:cs="Times New Roman"/>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7B1C40A4"/>
    <w:multiLevelType w:val="hybridMultilevel"/>
    <w:tmpl w:val="7E9E002C"/>
    <w:lvl w:ilvl="0" w:tplc="148449E6">
      <w:start w:val="1"/>
      <w:numFmt w:val="decimal"/>
      <w:lvlText w:val="(%1)"/>
      <w:lvlJc w:val="left"/>
      <w:pPr>
        <w:ind w:left="720" w:hanging="360"/>
      </w:pPr>
      <w:rPr>
        <w:rFonts w:eastAsia="Times New Roman"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2"/>
  </w:num>
  <w:num w:numId="2">
    <w:abstractNumId w:val="17"/>
  </w:num>
  <w:num w:numId="3">
    <w:abstractNumId w:val="20"/>
  </w:num>
  <w:num w:numId="4">
    <w:abstractNumId w:val="31"/>
  </w:num>
  <w:num w:numId="5">
    <w:abstractNumId w:val="24"/>
  </w:num>
  <w:num w:numId="6">
    <w:abstractNumId w:val="30"/>
  </w:num>
  <w:num w:numId="7">
    <w:abstractNumId w:val="0"/>
  </w:num>
  <w:num w:numId="8">
    <w:abstractNumId w:val="21"/>
  </w:num>
  <w:num w:numId="9">
    <w:abstractNumId w:val="34"/>
  </w:num>
  <w:num w:numId="10">
    <w:abstractNumId w:val="11"/>
  </w:num>
  <w:num w:numId="11">
    <w:abstractNumId w:val="12"/>
  </w:num>
  <w:num w:numId="12">
    <w:abstractNumId w:val="3"/>
  </w:num>
  <w:num w:numId="13">
    <w:abstractNumId w:val="13"/>
  </w:num>
  <w:num w:numId="14">
    <w:abstractNumId w:val="4"/>
  </w:num>
  <w:num w:numId="15">
    <w:abstractNumId w:val="26"/>
  </w:num>
  <w:num w:numId="16">
    <w:abstractNumId w:val="35"/>
  </w:num>
  <w:num w:numId="17">
    <w:abstractNumId w:val="27"/>
  </w:num>
  <w:num w:numId="18">
    <w:abstractNumId w:val="10"/>
  </w:num>
  <w:num w:numId="19">
    <w:abstractNumId w:val="8"/>
  </w:num>
  <w:num w:numId="20">
    <w:abstractNumId w:val="33"/>
  </w:num>
  <w:num w:numId="21">
    <w:abstractNumId w:val="28"/>
  </w:num>
  <w:num w:numId="22">
    <w:abstractNumId w:val="6"/>
  </w:num>
  <w:num w:numId="23">
    <w:abstractNumId w:val="2"/>
  </w:num>
  <w:num w:numId="24">
    <w:abstractNumId w:val="23"/>
  </w:num>
  <w:num w:numId="25">
    <w:abstractNumId w:val="29"/>
  </w:num>
  <w:num w:numId="26">
    <w:abstractNumId w:val="19"/>
  </w:num>
  <w:num w:numId="27">
    <w:abstractNumId w:val="7"/>
  </w:num>
  <w:num w:numId="28">
    <w:abstractNumId w:val="9"/>
  </w:num>
  <w:num w:numId="29">
    <w:abstractNumId w:val="1"/>
  </w:num>
  <w:num w:numId="30">
    <w:abstractNumId w:val="25"/>
  </w:num>
  <w:num w:numId="31">
    <w:abstractNumId w:val="5"/>
  </w:num>
  <w:num w:numId="32">
    <w:abstractNumId w:val="15"/>
  </w:num>
  <w:num w:numId="33">
    <w:abstractNumId w:val="22"/>
  </w:num>
  <w:num w:numId="34">
    <w:abstractNumId w:val="16"/>
  </w:num>
  <w:num w:numId="35">
    <w:abstractNumId w:val="14"/>
  </w:num>
  <w:num w:numId="36">
    <w:abstractNumId w:val="18"/>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ittelley">
    <w15:presenceInfo w15:providerId="None" w15:userId="Trittel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C8"/>
    <w:rsid w:val="000006EE"/>
    <w:rsid w:val="00001875"/>
    <w:rsid w:val="00002442"/>
    <w:rsid w:val="00003015"/>
    <w:rsid w:val="0000328C"/>
    <w:rsid w:val="00003892"/>
    <w:rsid w:val="0000392D"/>
    <w:rsid w:val="000044DF"/>
    <w:rsid w:val="00004D4F"/>
    <w:rsid w:val="0000542C"/>
    <w:rsid w:val="000057C6"/>
    <w:rsid w:val="00005F97"/>
    <w:rsid w:val="00007496"/>
    <w:rsid w:val="00007AD9"/>
    <w:rsid w:val="00007FE4"/>
    <w:rsid w:val="00011FEB"/>
    <w:rsid w:val="0001315B"/>
    <w:rsid w:val="00014C98"/>
    <w:rsid w:val="00016429"/>
    <w:rsid w:val="00016AB1"/>
    <w:rsid w:val="0001720C"/>
    <w:rsid w:val="00017CE7"/>
    <w:rsid w:val="00020399"/>
    <w:rsid w:val="000203D3"/>
    <w:rsid w:val="00020A97"/>
    <w:rsid w:val="000218D4"/>
    <w:rsid w:val="00022755"/>
    <w:rsid w:val="00023193"/>
    <w:rsid w:val="00023F20"/>
    <w:rsid w:val="00025817"/>
    <w:rsid w:val="00025B04"/>
    <w:rsid w:val="00025EF0"/>
    <w:rsid w:val="000275D1"/>
    <w:rsid w:val="00031DB1"/>
    <w:rsid w:val="000326FD"/>
    <w:rsid w:val="000333F2"/>
    <w:rsid w:val="00033EFA"/>
    <w:rsid w:val="00034209"/>
    <w:rsid w:val="00034290"/>
    <w:rsid w:val="00034291"/>
    <w:rsid w:val="00034323"/>
    <w:rsid w:val="000348B2"/>
    <w:rsid w:val="00036DAA"/>
    <w:rsid w:val="00037578"/>
    <w:rsid w:val="00037D2B"/>
    <w:rsid w:val="00040C09"/>
    <w:rsid w:val="0004116C"/>
    <w:rsid w:val="00041643"/>
    <w:rsid w:val="000418EC"/>
    <w:rsid w:val="00041997"/>
    <w:rsid w:val="00041ADB"/>
    <w:rsid w:val="0004311B"/>
    <w:rsid w:val="00043B03"/>
    <w:rsid w:val="00044444"/>
    <w:rsid w:val="00046C31"/>
    <w:rsid w:val="00046DA2"/>
    <w:rsid w:val="0004754C"/>
    <w:rsid w:val="00047CA2"/>
    <w:rsid w:val="00047DAA"/>
    <w:rsid w:val="0005036D"/>
    <w:rsid w:val="00051563"/>
    <w:rsid w:val="00051897"/>
    <w:rsid w:val="00051D44"/>
    <w:rsid w:val="00052208"/>
    <w:rsid w:val="000533B4"/>
    <w:rsid w:val="0005352B"/>
    <w:rsid w:val="00053ABD"/>
    <w:rsid w:val="000541D4"/>
    <w:rsid w:val="00056F97"/>
    <w:rsid w:val="00057CB2"/>
    <w:rsid w:val="0006001D"/>
    <w:rsid w:val="0006021C"/>
    <w:rsid w:val="000603E0"/>
    <w:rsid w:val="0006199B"/>
    <w:rsid w:val="000621FC"/>
    <w:rsid w:val="000622E7"/>
    <w:rsid w:val="00062577"/>
    <w:rsid w:val="00062828"/>
    <w:rsid w:val="00062B8B"/>
    <w:rsid w:val="0006515C"/>
    <w:rsid w:val="000660D6"/>
    <w:rsid w:val="00066854"/>
    <w:rsid w:val="0006698F"/>
    <w:rsid w:val="00066A55"/>
    <w:rsid w:val="00066D85"/>
    <w:rsid w:val="00067B31"/>
    <w:rsid w:val="000727D3"/>
    <w:rsid w:val="000727EB"/>
    <w:rsid w:val="00073485"/>
    <w:rsid w:val="00073E22"/>
    <w:rsid w:val="000752EC"/>
    <w:rsid w:val="00075B3D"/>
    <w:rsid w:val="00075B4D"/>
    <w:rsid w:val="00075D98"/>
    <w:rsid w:val="00076788"/>
    <w:rsid w:val="00076A54"/>
    <w:rsid w:val="0008059E"/>
    <w:rsid w:val="000814F5"/>
    <w:rsid w:val="00081F68"/>
    <w:rsid w:val="000822FB"/>
    <w:rsid w:val="0008243C"/>
    <w:rsid w:val="00084002"/>
    <w:rsid w:val="00085BA6"/>
    <w:rsid w:val="00086C74"/>
    <w:rsid w:val="00086F1A"/>
    <w:rsid w:val="0008777F"/>
    <w:rsid w:val="000878F8"/>
    <w:rsid w:val="00090342"/>
    <w:rsid w:val="00091F48"/>
    <w:rsid w:val="00091F59"/>
    <w:rsid w:val="000926FC"/>
    <w:rsid w:val="00093650"/>
    <w:rsid w:val="00093899"/>
    <w:rsid w:val="000946CC"/>
    <w:rsid w:val="00095376"/>
    <w:rsid w:val="00096664"/>
    <w:rsid w:val="00097199"/>
    <w:rsid w:val="000A00BC"/>
    <w:rsid w:val="000A0F82"/>
    <w:rsid w:val="000A2263"/>
    <w:rsid w:val="000A2808"/>
    <w:rsid w:val="000A38F8"/>
    <w:rsid w:val="000A621A"/>
    <w:rsid w:val="000A64FE"/>
    <w:rsid w:val="000B07D2"/>
    <w:rsid w:val="000B2EBC"/>
    <w:rsid w:val="000B5D12"/>
    <w:rsid w:val="000B69C6"/>
    <w:rsid w:val="000B6D31"/>
    <w:rsid w:val="000C0470"/>
    <w:rsid w:val="000C0A46"/>
    <w:rsid w:val="000C1177"/>
    <w:rsid w:val="000C1ABE"/>
    <w:rsid w:val="000C232D"/>
    <w:rsid w:val="000C2CA1"/>
    <w:rsid w:val="000C6BC2"/>
    <w:rsid w:val="000D075D"/>
    <w:rsid w:val="000D0A8E"/>
    <w:rsid w:val="000D0C6B"/>
    <w:rsid w:val="000D1411"/>
    <w:rsid w:val="000D2F58"/>
    <w:rsid w:val="000D5026"/>
    <w:rsid w:val="000E028F"/>
    <w:rsid w:val="000E0833"/>
    <w:rsid w:val="000E1656"/>
    <w:rsid w:val="000E1699"/>
    <w:rsid w:val="000E2E3F"/>
    <w:rsid w:val="000E3E5E"/>
    <w:rsid w:val="000E5297"/>
    <w:rsid w:val="000E7F2F"/>
    <w:rsid w:val="000F07B0"/>
    <w:rsid w:val="000F1953"/>
    <w:rsid w:val="000F2196"/>
    <w:rsid w:val="000F2711"/>
    <w:rsid w:val="000F29F2"/>
    <w:rsid w:val="000F33D4"/>
    <w:rsid w:val="000F447E"/>
    <w:rsid w:val="000F5205"/>
    <w:rsid w:val="001006CC"/>
    <w:rsid w:val="00101CA2"/>
    <w:rsid w:val="00101EBD"/>
    <w:rsid w:val="00103005"/>
    <w:rsid w:val="001035E5"/>
    <w:rsid w:val="0010370C"/>
    <w:rsid w:val="00103C7D"/>
    <w:rsid w:val="00103E67"/>
    <w:rsid w:val="001049C4"/>
    <w:rsid w:val="00106205"/>
    <w:rsid w:val="0010669A"/>
    <w:rsid w:val="00111088"/>
    <w:rsid w:val="001118CE"/>
    <w:rsid w:val="001118F3"/>
    <w:rsid w:val="001119AE"/>
    <w:rsid w:val="00112963"/>
    <w:rsid w:val="00115A47"/>
    <w:rsid w:val="00120672"/>
    <w:rsid w:val="00121896"/>
    <w:rsid w:val="00121E24"/>
    <w:rsid w:val="00122182"/>
    <w:rsid w:val="001222C3"/>
    <w:rsid w:val="00122C71"/>
    <w:rsid w:val="001235EA"/>
    <w:rsid w:val="001243C3"/>
    <w:rsid w:val="00125286"/>
    <w:rsid w:val="0012536A"/>
    <w:rsid w:val="00125EB9"/>
    <w:rsid w:val="00126680"/>
    <w:rsid w:val="001271D4"/>
    <w:rsid w:val="00127420"/>
    <w:rsid w:val="00130538"/>
    <w:rsid w:val="00131632"/>
    <w:rsid w:val="00131A90"/>
    <w:rsid w:val="00131B16"/>
    <w:rsid w:val="00132A3F"/>
    <w:rsid w:val="0013387A"/>
    <w:rsid w:val="00134124"/>
    <w:rsid w:val="00134D21"/>
    <w:rsid w:val="00135248"/>
    <w:rsid w:val="00135E84"/>
    <w:rsid w:val="001373BC"/>
    <w:rsid w:val="00140E5D"/>
    <w:rsid w:val="001444F7"/>
    <w:rsid w:val="00144DCF"/>
    <w:rsid w:val="0014603B"/>
    <w:rsid w:val="00146877"/>
    <w:rsid w:val="0014715D"/>
    <w:rsid w:val="001503DE"/>
    <w:rsid w:val="001553CE"/>
    <w:rsid w:val="001565F0"/>
    <w:rsid w:val="00156B39"/>
    <w:rsid w:val="001605AF"/>
    <w:rsid w:val="001610D3"/>
    <w:rsid w:val="001612FD"/>
    <w:rsid w:val="00161D89"/>
    <w:rsid w:val="00161FA0"/>
    <w:rsid w:val="00163D1A"/>
    <w:rsid w:val="00164EF1"/>
    <w:rsid w:val="00165223"/>
    <w:rsid w:val="001653C4"/>
    <w:rsid w:val="0016740B"/>
    <w:rsid w:val="0016778E"/>
    <w:rsid w:val="00170534"/>
    <w:rsid w:val="00172298"/>
    <w:rsid w:val="00172363"/>
    <w:rsid w:val="00172428"/>
    <w:rsid w:val="001734EA"/>
    <w:rsid w:val="001738C9"/>
    <w:rsid w:val="0017400A"/>
    <w:rsid w:val="00174162"/>
    <w:rsid w:val="001759CE"/>
    <w:rsid w:val="00176B0E"/>
    <w:rsid w:val="00176C89"/>
    <w:rsid w:val="00176D91"/>
    <w:rsid w:val="001770BE"/>
    <w:rsid w:val="001771BE"/>
    <w:rsid w:val="00177776"/>
    <w:rsid w:val="00177EA5"/>
    <w:rsid w:val="0018002A"/>
    <w:rsid w:val="0018105D"/>
    <w:rsid w:val="0018134B"/>
    <w:rsid w:val="001814AB"/>
    <w:rsid w:val="00183428"/>
    <w:rsid w:val="001834E3"/>
    <w:rsid w:val="001839F8"/>
    <w:rsid w:val="00183A36"/>
    <w:rsid w:val="00184403"/>
    <w:rsid w:val="00190413"/>
    <w:rsid w:val="00190878"/>
    <w:rsid w:val="0019096B"/>
    <w:rsid w:val="00190AAA"/>
    <w:rsid w:val="00190FEC"/>
    <w:rsid w:val="001913F4"/>
    <w:rsid w:val="00191770"/>
    <w:rsid w:val="001917ED"/>
    <w:rsid w:val="0019185E"/>
    <w:rsid w:val="00192F61"/>
    <w:rsid w:val="00193047"/>
    <w:rsid w:val="001932F9"/>
    <w:rsid w:val="001951E6"/>
    <w:rsid w:val="001961EF"/>
    <w:rsid w:val="00196D55"/>
    <w:rsid w:val="001A0451"/>
    <w:rsid w:val="001A1209"/>
    <w:rsid w:val="001A19C2"/>
    <w:rsid w:val="001A1A99"/>
    <w:rsid w:val="001A1B32"/>
    <w:rsid w:val="001A2A0D"/>
    <w:rsid w:val="001A33E2"/>
    <w:rsid w:val="001A368F"/>
    <w:rsid w:val="001A3695"/>
    <w:rsid w:val="001A3C25"/>
    <w:rsid w:val="001A4BB7"/>
    <w:rsid w:val="001A6ABB"/>
    <w:rsid w:val="001A782D"/>
    <w:rsid w:val="001A79E5"/>
    <w:rsid w:val="001A7CBC"/>
    <w:rsid w:val="001A7D15"/>
    <w:rsid w:val="001B34D0"/>
    <w:rsid w:val="001B4290"/>
    <w:rsid w:val="001B43D1"/>
    <w:rsid w:val="001B45AC"/>
    <w:rsid w:val="001B4C82"/>
    <w:rsid w:val="001B5CED"/>
    <w:rsid w:val="001B683D"/>
    <w:rsid w:val="001B779C"/>
    <w:rsid w:val="001B7805"/>
    <w:rsid w:val="001C0FC6"/>
    <w:rsid w:val="001C10CB"/>
    <w:rsid w:val="001C116A"/>
    <w:rsid w:val="001C14CE"/>
    <w:rsid w:val="001C1C58"/>
    <w:rsid w:val="001C284D"/>
    <w:rsid w:val="001C2FC5"/>
    <w:rsid w:val="001C5126"/>
    <w:rsid w:val="001C5E49"/>
    <w:rsid w:val="001C6379"/>
    <w:rsid w:val="001C6A47"/>
    <w:rsid w:val="001C736D"/>
    <w:rsid w:val="001C7C8C"/>
    <w:rsid w:val="001C7E56"/>
    <w:rsid w:val="001D0097"/>
    <w:rsid w:val="001D0E46"/>
    <w:rsid w:val="001D2868"/>
    <w:rsid w:val="001D3A51"/>
    <w:rsid w:val="001D40A1"/>
    <w:rsid w:val="001D4B35"/>
    <w:rsid w:val="001D4CA9"/>
    <w:rsid w:val="001D5303"/>
    <w:rsid w:val="001D5983"/>
    <w:rsid w:val="001D5FA0"/>
    <w:rsid w:val="001D62FC"/>
    <w:rsid w:val="001D6A8C"/>
    <w:rsid w:val="001D7150"/>
    <w:rsid w:val="001D7FC2"/>
    <w:rsid w:val="001E139C"/>
    <w:rsid w:val="001E19CE"/>
    <w:rsid w:val="001E280E"/>
    <w:rsid w:val="001E2AA6"/>
    <w:rsid w:val="001E3080"/>
    <w:rsid w:val="001E389A"/>
    <w:rsid w:val="001E4032"/>
    <w:rsid w:val="001E5122"/>
    <w:rsid w:val="001E55A4"/>
    <w:rsid w:val="001E6053"/>
    <w:rsid w:val="001E6283"/>
    <w:rsid w:val="001E696B"/>
    <w:rsid w:val="001E7531"/>
    <w:rsid w:val="001F0417"/>
    <w:rsid w:val="001F08E0"/>
    <w:rsid w:val="001F0F6B"/>
    <w:rsid w:val="001F2AFB"/>
    <w:rsid w:val="001F448A"/>
    <w:rsid w:val="001F506F"/>
    <w:rsid w:val="001F5CDD"/>
    <w:rsid w:val="001F5DB8"/>
    <w:rsid w:val="001F60C0"/>
    <w:rsid w:val="00200D95"/>
    <w:rsid w:val="00201DCC"/>
    <w:rsid w:val="00202753"/>
    <w:rsid w:val="00202C33"/>
    <w:rsid w:val="00204999"/>
    <w:rsid w:val="00204EA0"/>
    <w:rsid w:val="00205AA7"/>
    <w:rsid w:val="002069E5"/>
    <w:rsid w:val="0020709D"/>
    <w:rsid w:val="002074BA"/>
    <w:rsid w:val="00212D49"/>
    <w:rsid w:val="002133CF"/>
    <w:rsid w:val="0021379A"/>
    <w:rsid w:val="002154A2"/>
    <w:rsid w:val="00215642"/>
    <w:rsid w:val="00215669"/>
    <w:rsid w:val="00215DCD"/>
    <w:rsid w:val="002160BD"/>
    <w:rsid w:val="0021623D"/>
    <w:rsid w:val="00217155"/>
    <w:rsid w:val="002221E9"/>
    <w:rsid w:val="00222C74"/>
    <w:rsid w:val="00222D86"/>
    <w:rsid w:val="0022312E"/>
    <w:rsid w:val="002232B1"/>
    <w:rsid w:val="00224B2F"/>
    <w:rsid w:val="00225F10"/>
    <w:rsid w:val="00226990"/>
    <w:rsid w:val="00226CE7"/>
    <w:rsid w:val="00226E7A"/>
    <w:rsid w:val="0022739D"/>
    <w:rsid w:val="00230824"/>
    <w:rsid w:val="00233315"/>
    <w:rsid w:val="00234C31"/>
    <w:rsid w:val="002351AA"/>
    <w:rsid w:val="0023560C"/>
    <w:rsid w:val="00236503"/>
    <w:rsid w:val="00236862"/>
    <w:rsid w:val="0023784B"/>
    <w:rsid w:val="002378C7"/>
    <w:rsid w:val="0024110D"/>
    <w:rsid w:val="002411DC"/>
    <w:rsid w:val="00241663"/>
    <w:rsid w:val="00242CA0"/>
    <w:rsid w:val="00242FF7"/>
    <w:rsid w:val="00243420"/>
    <w:rsid w:val="00243841"/>
    <w:rsid w:val="00244157"/>
    <w:rsid w:val="002444B1"/>
    <w:rsid w:val="00245B97"/>
    <w:rsid w:val="00245CE2"/>
    <w:rsid w:val="0024646F"/>
    <w:rsid w:val="002465CF"/>
    <w:rsid w:val="00246DA9"/>
    <w:rsid w:val="00247086"/>
    <w:rsid w:val="00250DA1"/>
    <w:rsid w:val="002511DA"/>
    <w:rsid w:val="00252B73"/>
    <w:rsid w:val="00253A1F"/>
    <w:rsid w:val="00253E38"/>
    <w:rsid w:val="0025405D"/>
    <w:rsid w:val="00254455"/>
    <w:rsid w:val="00254D0F"/>
    <w:rsid w:val="00255065"/>
    <w:rsid w:val="002560B9"/>
    <w:rsid w:val="00256BCF"/>
    <w:rsid w:val="00256E55"/>
    <w:rsid w:val="00257185"/>
    <w:rsid w:val="00257281"/>
    <w:rsid w:val="002573BB"/>
    <w:rsid w:val="002578C0"/>
    <w:rsid w:val="0026018E"/>
    <w:rsid w:val="0026020F"/>
    <w:rsid w:val="00260279"/>
    <w:rsid w:val="002607A9"/>
    <w:rsid w:val="0026165E"/>
    <w:rsid w:val="00261853"/>
    <w:rsid w:val="00261BCF"/>
    <w:rsid w:val="00262435"/>
    <w:rsid w:val="002634C7"/>
    <w:rsid w:val="00263E34"/>
    <w:rsid w:val="002646BB"/>
    <w:rsid w:val="002648CA"/>
    <w:rsid w:val="00264952"/>
    <w:rsid w:val="00264B6D"/>
    <w:rsid w:val="00264BE8"/>
    <w:rsid w:val="00264FEF"/>
    <w:rsid w:val="00266B23"/>
    <w:rsid w:val="00266C86"/>
    <w:rsid w:val="00272092"/>
    <w:rsid w:val="00272479"/>
    <w:rsid w:val="00272526"/>
    <w:rsid w:val="00272DFF"/>
    <w:rsid w:val="002747C0"/>
    <w:rsid w:val="00275E36"/>
    <w:rsid w:val="00276390"/>
    <w:rsid w:val="0027656A"/>
    <w:rsid w:val="00276A76"/>
    <w:rsid w:val="00282859"/>
    <w:rsid w:val="00283D71"/>
    <w:rsid w:val="00284C59"/>
    <w:rsid w:val="002852D7"/>
    <w:rsid w:val="0028559C"/>
    <w:rsid w:val="00285706"/>
    <w:rsid w:val="00285C59"/>
    <w:rsid w:val="002868FF"/>
    <w:rsid w:val="002925B6"/>
    <w:rsid w:val="00294D04"/>
    <w:rsid w:val="0029585D"/>
    <w:rsid w:val="00296927"/>
    <w:rsid w:val="0029704C"/>
    <w:rsid w:val="00297A86"/>
    <w:rsid w:val="002A0BB1"/>
    <w:rsid w:val="002A1FB0"/>
    <w:rsid w:val="002A2E62"/>
    <w:rsid w:val="002A4585"/>
    <w:rsid w:val="002A594E"/>
    <w:rsid w:val="002A5AC5"/>
    <w:rsid w:val="002A60B7"/>
    <w:rsid w:val="002A6FC8"/>
    <w:rsid w:val="002A78C7"/>
    <w:rsid w:val="002B00D9"/>
    <w:rsid w:val="002B38A9"/>
    <w:rsid w:val="002B38D0"/>
    <w:rsid w:val="002B391A"/>
    <w:rsid w:val="002B4E69"/>
    <w:rsid w:val="002B52A9"/>
    <w:rsid w:val="002B542C"/>
    <w:rsid w:val="002B5AFF"/>
    <w:rsid w:val="002B6A28"/>
    <w:rsid w:val="002B6FE3"/>
    <w:rsid w:val="002B7F00"/>
    <w:rsid w:val="002C0506"/>
    <w:rsid w:val="002C0613"/>
    <w:rsid w:val="002C0E01"/>
    <w:rsid w:val="002C0ED7"/>
    <w:rsid w:val="002C1956"/>
    <w:rsid w:val="002C1AA6"/>
    <w:rsid w:val="002C20C2"/>
    <w:rsid w:val="002C2902"/>
    <w:rsid w:val="002C3C77"/>
    <w:rsid w:val="002C3E60"/>
    <w:rsid w:val="002C4D60"/>
    <w:rsid w:val="002C6B0A"/>
    <w:rsid w:val="002C7685"/>
    <w:rsid w:val="002C7830"/>
    <w:rsid w:val="002D06FC"/>
    <w:rsid w:val="002D10FB"/>
    <w:rsid w:val="002D1CE7"/>
    <w:rsid w:val="002D2478"/>
    <w:rsid w:val="002D3431"/>
    <w:rsid w:val="002D4489"/>
    <w:rsid w:val="002D461A"/>
    <w:rsid w:val="002D480A"/>
    <w:rsid w:val="002D53ED"/>
    <w:rsid w:val="002D794A"/>
    <w:rsid w:val="002E01AC"/>
    <w:rsid w:val="002E03F1"/>
    <w:rsid w:val="002E0D0A"/>
    <w:rsid w:val="002E21C0"/>
    <w:rsid w:val="002E2F12"/>
    <w:rsid w:val="002E36E9"/>
    <w:rsid w:val="002E3D61"/>
    <w:rsid w:val="002E456B"/>
    <w:rsid w:val="002E4901"/>
    <w:rsid w:val="002E5591"/>
    <w:rsid w:val="002E77AB"/>
    <w:rsid w:val="002E7CE4"/>
    <w:rsid w:val="002F162C"/>
    <w:rsid w:val="002F1CF3"/>
    <w:rsid w:val="002F28BD"/>
    <w:rsid w:val="002F3A5A"/>
    <w:rsid w:val="002F65FC"/>
    <w:rsid w:val="002F6AFE"/>
    <w:rsid w:val="002F72A2"/>
    <w:rsid w:val="002F7945"/>
    <w:rsid w:val="00300C91"/>
    <w:rsid w:val="00300EBF"/>
    <w:rsid w:val="0030262A"/>
    <w:rsid w:val="00303007"/>
    <w:rsid w:val="00304C98"/>
    <w:rsid w:val="00306C50"/>
    <w:rsid w:val="00306C88"/>
    <w:rsid w:val="00306ECC"/>
    <w:rsid w:val="00307D58"/>
    <w:rsid w:val="00307DE6"/>
    <w:rsid w:val="00307EC5"/>
    <w:rsid w:val="00310B81"/>
    <w:rsid w:val="00312255"/>
    <w:rsid w:val="003132EF"/>
    <w:rsid w:val="00316BA4"/>
    <w:rsid w:val="00316C4E"/>
    <w:rsid w:val="00316DD0"/>
    <w:rsid w:val="003208CC"/>
    <w:rsid w:val="00322030"/>
    <w:rsid w:val="00325965"/>
    <w:rsid w:val="00326934"/>
    <w:rsid w:val="003270B9"/>
    <w:rsid w:val="00327401"/>
    <w:rsid w:val="003278D4"/>
    <w:rsid w:val="0033021F"/>
    <w:rsid w:val="00330DA8"/>
    <w:rsid w:val="00331444"/>
    <w:rsid w:val="003333CB"/>
    <w:rsid w:val="003346FD"/>
    <w:rsid w:val="00334A23"/>
    <w:rsid w:val="00334E16"/>
    <w:rsid w:val="003370FE"/>
    <w:rsid w:val="00340E8D"/>
    <w:rsid w:val="003412D1"/>
    <w:rsid w:val="00341D25"/>
    <w:rsid w:val="00342CE7"/>
    <w:rsid w:val="00343C01"/>
    <w:rsid w:val="00344FCB"/>
    <w:rsid w:val="003462AB"/>
    <w:rsid w:val="003466C0"/>
    <w:rsid w:val="00346BEB"/>
    <w:rsid w:val="0034778B"/>
    <w:rsid w:val="00347A8E"/>
    <w:rsid w:val="00350376"/>
    <w:rsid w:val="00350FC5"/>
    <w:rsid w:val="003525E2"/>
    <w:rsid w:val="00352AE0"/>
    <w:rsid w:val="00354016"/>
    <w:rsid w:val="0035584C"/>
    <w:rsid w:val="00355BD7"/>
    <w:rsid w:val="00357AC3"/>
    <w:rsid w:val="00357B2B"/>
    <w:rsid w:val="00357E70"/>
    <w:rsid w:val="00360182"/>
    <w:rsid w:val="003605CC"/>
    <w:rsid w:val="003623F4"/>
    <w:rsid w:val="003633B6"/>
    <w:rsid w:val="00364016"/>
    <w:rsid w:val="0036505E"/>
    <w:rsid w:val="003656A0"/>
    <w:rsid w:val="00366E4E"/>
    <w:rsid w:val="00367829"/>
    <w:rsid w:val="003707EA"/>
    <w:rsid w:val="00370C68"/>
    <w:rsid w:val="00371314"/>
    <w:rsid w:val="003716A2"/>
    <w:rsid w:val="00372041"/>
    <w:rsid w:val="0037308B"/>
    <w:rsid w:val="00373370"/>
    <w:rsid w:val="00373AD7"/>
    <w:rsid w:val="00373DDF"/>
    <w:rsid w:val="00374548"/>
    <w:rsid w:val="0037489D"/>
    <w:rsid w:val="00374B15"/>
    <w:rsid w:val="00374BF4"/>
    <w:rsid w:val="00375D2D"/>
    <w:rsid w:val="00376235"/>
    <w:rsid w:val="00377819"/>
    <w:rsid w:val="0038124B"/>
    <w:rsid w:val="0038190B"/>
    <w:rsid w:val="00381F7B"/>
    <w:rsid w:val="00383B9E"/>
    <w:rsid w:val="00384002"/>
    <w:rsid w:val="00384013"/>
    <w:rsid w:val="003845C5"/>
    <w:rsid w:val="00385018"/>
    <w:rsid w:val="0038517C"/>
    <w:rsid w:val="003863C7"/>
    <w:rsid w:val="0038732F"/>
    <w:rsid w:val="003877DA"/>
    <w:rsid w:val="003903D4"/>
    <w:rsid w:val="00390576"/>
    <w:rsid w:val="00390F15"/>
    <w:rsid w:val="003918AB"/>
    <w:rsid w:val="00392677"/>
    <w:rsid w:val="0039514F"/>
    <w:rsid w:val="00395165"/>
    <w:rsid w:val="00395838"/>
    <w:rsid w:val="00396C35"/>
    <w:rsid w:val="003976C8"/>
    <w:rsid w:val="003A1B6B"/>
    <w:rsid w:val="003A1E02"/>
    <w:rsid w:val="003A1F60"/>
    <w:rsid w:val="003A2704"/>
    <w:rsid w:val="003A2B97"/>
    <w:rsid w:val="003A3369"/>
    <w:rsid w:val="003A3E64"/>
    <w:rsid w:val="003A61DA"/>
    <w:rsid w:val="003A6C04"/>
    <w:rsid w:val="003A7142"/>
    <w:rsid w:val="003A7C71"/>
    <w:rsid w:val="003B04DB"/>
    <w:rsid w:val="003B115D"/>
    <w:rsid w:val="003B1734"/>
    <w:rsid w:val="003B2292"/>
    <w:rsid w:val="003B45EB"/>
    <w:rsid w:val="003B47DC"/>
    <w:rsid w:val="003B5290"/>
    <w:rsid w:val="003B5458"/>
    <w:rsid w:val="003B5BF4"/>
    <w:rsid w:val="003B5CA7"/>
    <w:rsid w:val="003B5CDA"/>
    <w:rsid w:val="003B5E78"/>
    <w:rsid w:val="003C1258"/>
    <w:rsid w:val="003C1C98"/>
    <w:rsid w:val="003C2412"/>
    <w:rsid w:val="003C452A"/>
    <w:rsid w:val="003C5A8C"/>
    <w:rsid w:val="003C6082"/>
    <w:rsid w:val="003C60DB"/>
    <w:rsid w:val="003C7079"/>
    <w:rsid w:val="003D0018"/>
    <w:rsid w:val="003D06E0"/>
    <w:rsid w:val="003D1219"/>
    <w:rsid w:val="003D1B5F"/>
    <w:rsid w:val="003D28C2"/>
    <w:rsid w:val="003D3F0A"/>
    <w:rsid w:val="003D44B8"/>
    <w:rsid w:val="003D4AA5"/>
    <w:rsid w:val="003D4F09"/>
    <w:rsid w:val="003D5925"/>
    <w:rsid w:val="003D62B6"/>
    <w:rsid w:val="003D6F4E"/>
    <w:rsid w:val="003D6FDA"/>
    <w:rsid w:val="003D7F8C"/>
    <w:rsid w:val="003E0912"/>
    <w:rsid w:val="003E0B53"/>
    <w:rsid w:val="003E11E7"/>
    <w:rsid w:val="003E123C"/>
    <w:rsid w:val="003E1314"/>
    <w:rsid w:val="003E21D2"/>
    <w:rsid w:val="003E3C5C"/>
    <w:rsid w:val="003E4050"/>
    <w:rsid w:val="003E41BA"/>
    <w:rsid w:val="003E423F"/>
    <w:rsid w:val="003E64AB"/>
    <w:rsid w:val="003E6D4B"/>
    <w:rsid w:val="003F0170"/>
    <w:rsid w:val="003F1929"/>
    <w:rsid w:val="003F27D1"/>
    <w:rsid w:val="003F322C"/>
    <w:rsid w:val="003F3389"/>
    <w:rsid w:val="003F4322"/>
    <w:rsid w:val="003F59CE"/>
    <w:rsid w:val="003F6285"/>
    <w:rsid w:val="003F6FC2"/>
    <w:rsid w:val="003F7064"/>
    <w:rsid w:val="003F74AA"/>
    <w:rsid w:val="003F7B71"/>
    <w:rsid w:val="00400D4B"/>
    <w:rsid w:val="004031AC"/>
    <w:rsid w:val="00404702"/>
    <w:rsid w:val="00404CFB"/>
    <w:rsid w:val="00405AC3"/>
    <w:rsid w:val="0040665F"/>
    <w:rsid w:val="004072C6"/>
    <w:rsid w:val="0040791B"/>
    <w:rsid w:val="004101D5"/>
    <w:rsid w:val="004105B4"/>
    <w:rsid w:val="004106A2"/>
    <w:rsid w:val="00411E19"/>
    <w:rsid w:val="00412206"/>
    <w:rsid w:val="00412514"/>
    <w:rsid w:val="004139F6"/>
    <w:rsid w:val="00413D40"/>
    <w:rsid w:val="0041546D"/>
    <w:rsid w:val="004164D8"/>
    <w:rsid w:val="0041688D"/>
    <w:rsid w:val="00417A80"/>
    <w:rsid w:val="00420F83"/>
    <w:rsid w:val="004213E9"/>
    <w:rsid w:val="00424D97"/>
    <w:rsid w:val="0042623B"/>
    <w:rsid w:val="00426CF7"/>
    <w:rsid w:val="00426F0F"/>
    <w:rsid w:val="00427064"/>
    <w:rsid w:val="00427C35"/>
    <w:rsid w:val="00430465"/>
    <w:rsid w:val="00433AA5"/>
    <w:rsid w:val="00435889"/>
    <w:rsid w:val="00436BD8"/>
    <w:rsid w:val="004376FD"/>
    <w:rsid w:val="00437C0D"/>
    <w:rsid w:val="00440DF2"/>
    <w:rsid w:val="0044114A"/>
    <w:rsid w:val="00441295"/>
    <w:rsid w:val="004419A9"/>
    <w:rsid w:val="00441D77"/>
    <w:rsid w:val="00441E3B"/>
    <w:rsid w:val="004423CE"/>
    <w:rsid w:val="00442717"/>
    <w:rsid w:val="0044313B"/>
    <w:rsid w:val="00443F05"/>
    <w:rsid w:val="00444901"/>
    <w:rsid w:val="00445BBE"/>
    <w:rsid w:val="00446CF8"/>
    <w:rsid w:val="004476DD"/>
    <w:rsid w:val="00450014"/>
    <w:rsid w:val="00451294"/>
    <w:rsid w:val="004514C7"/>
    <w:rsid w:val="0045206A"/>
    <w:rsid w:val="004523B0"/>
    <w:rsid w:val="004526FA"/>
    <w:rsid w:val="00453F8A"/>
    <w:rsid w:val="004541EC"/>
    <w:rsid w:val="004550FE"/>
    <w:rsid w:val="00456367"/>
    <w:rsid w:val="00460515"/>
    <w:rsid w:val="00460CDB"/>
    <w:rsid w:val="00462E0A"/>
    <w:rsid w:val="00463395"/>
    <w:rsid w:val="004646E0"/>
    <w:rsid w:val="00464A5C"/>
    <w:rsid w:val="00465400"/>
    <w:rsid w:val="004707B4"/>
    <w:rsid w:val="00471713"/>
    <w:rsid w:val="00471AB0"/>
    <w:rsid w:val="004731DE"/>
    <w:rsid w:val="0047421D"/>
    <w:rsid w:val="004742D3"/>
    <w:rsid w:val="00480BFF"/>
    <w:rsid w:val="00481710"/>
    <w:rsid w:val="00482B78"/>
    <w:rsid w:val="00484908"/>
    <w:rsid w:val="00484DD5"/>
    <w:rsid w:val="00485AE8"/>
    <w:rsid w:val="00486619"/>
    <w:rsid w:val="00486651"/>
    <w:rsid w:val="00487027"/>
    <w:rsid w:val="004879AA"/>
    <w:rsid w:val="00487EB7"/>
    <w:rsid w:val="00490F68"/>
    <w:rsid w:val="00494750"/>
    <w:rsid w:val="00494BDB"/>
    <w:rsid w:val="00495C34"/>
    <w:rsid w:val="00496A48"/>
    <w:rsid w:val="0049758A"/>
    <w:rsid w:val="004975BF"/>
    <w:rsid w:val="004A05BD"/>
    <w:rsid w:val="004A2A79"/>
    <w:rsid w:val="004A3030"/>
    <w:rsid w:val="004A403A"/>
    <w:rsid w:val="004A40EE"/>
    <w:rsid w:val="004A66EE"/>
    <w:rsid w:val="004A6EA4"/>
    <w:rsid w:val="004B0674"/>
    <w:rsid w:val="004B142A"/>
    <w:rsid w:val="004B1D2A"/>
    <w:rsid w:val="004B2515"/>
    <w:rsid w:val="004B2D5A"/>
    <w:rsid w:val="004B3D92"/>
    <w:rsid w:val="004B4330"/>
    <w:rsid w:val="004B463E"/>
    <w:rsid w:val="004B4A24"/>
    <w:rsid w:val="004B5B49"/>
    <w:rsid w:val="004B6D3F"/>
    <w:rsid w:val="004B73BD"/>
    <w:rsid w:val="004C0024"/>
    <w:rsid w:val="004C0099"/>
    <w:rsid w:val="004C1475"/>
    <w:rsid w:val="004C1D24"/>
    <w:rsid w:val="004C1E3D"/>
    <w:rsid w:val="004C42A4"/>
    <w:rsid w:val="004C4CA5"/>
    <w:rsid w:val="004C52D1"/>
    <w:rsid w:val="004C5B19"/>
    <w:rsid w:val="004C5B3A"/>
    <w:rsid w:val="004C5BA2"/>
    <w:rsid w:val="004C6B26"/>
    <w:rsid w:val="004C6E0B"/>
    <w:rsid w:val="004C6EA7"/>
    <w:rsid w:val="004C6F45"/>
    <w:rsid w:val="004C753A"/>
    <w:rsid w:val="004C7934"/>
    <w:rsid w:val="004D0276"/>
    <w:rsid w:val="004D08EA"/>
    <w:rsid w:val="004D2984"/>
    <w:rsid w:val="004D3012"/>
    <w:rsid w:val="004D3868"/>
    <w:rsid w:val="004D40C8"/>
    <w:rsid w:val="004D4338"/>
    <w:rsid w:val="004D5B36"/>
    <w:rsid w:val="004D5D76"/>
    <w:rsid w:val="004D6123"/>
    <w:rsid w:val="004D71DF"/>
    <w:rsid w:val="004D7223"/>
    <w:rsid w:val="004D7872"/>
    <w:rsid w:val="004D7DB3"/>
    <w:rsid w:val="004E009C"/>
    <w:rsid w:val="004E2D05"/>
    <w:rsid w:val="004E3223"/>
    <w:rsid w:val="004E373B"/>
    <w:rsid w:val="004E408D"/>
    <w:rsid w:val="004E40B3"/>
    <w:rsid w:val="004E422B"/>
    <w:rsid w:val="004E4F92"/>
    <w:rsid w:val="004E5F55"/>
    <w:rsid w:val="004E639B"/>
    <w:rsid w:val="004E6694"/>
    <w:rsid w:val="004E67FC"/>
    <w:rsid w:val="004E6F6B"/>
    <w:rsid w:val="004F068E"/>
    <w:rsid w:val="004F0725"/>
    <w:rsid w:val="004F07C2"/>
    <w:rsid w:val="004F0C35"/>
    <w:rsid w:val="004F19BD"/>
    <w:rsid w:val="004F1E6F"/>
    <w:rsid w:val="004F43D9"/>
    <w:rsid w:val="004F452D"/>
    <w:rsid w:val="004F520E"/>
    <w:rsid w:val="004F52B6"/>
    <w:rsid w:val="004F5F96"/>
    <w:rsid w:val="004F61AB"/>
    <w:rsid w:val="004F6331"/>
    <w:rsid w:val="004F69CB"/>
    <w:rsid w:val="004F7782"/>
    <w:rsid w:val="004F78D9"/>
    <w:rsid w:val="004F7E75"/>
    <w:rsid w:val="00500EDF"/>
    <w:rsid w:val="00501997"/>
    <w:rsid w:val="00502067"/>
    <w:rsid w:val="005025BF"/>
    <w:rsid w:val="00503716"/>
    <w:rsid w:val="00503D37"/>
    <w:rsid w:val="00503D7D"/>
    <w:rsid w:val="0050402E"/>
    <w:rsid w:val="00506215"/>
    <w:rsid w:val="00511249"/>
    <w:rsid w:val="0051164A"/>
    <w:rsid w:val="00511CA3"/>
    <w:rsid w:val="0051241D"/>
    <w:rsid w:val="00512B3D"/>
    <w:rsid w:val="005136E7"/>
    <w:rsid w:val="00513D5C"/>
    <w:rsid w:val="00513F70"/>
    <w:rsid w:val="00514D83"/>
    <w:rsid w:val="00515F6B"/>
    <w:rsid w:val="00516703"/>
    <w:rsid w:val="00516FA7"/>
    <w:rsid w:val="005171B2"/>
    <w:rsid w:val="00520A77"/>
    <w:rsid w:val="00520E5B"/>
    <w:rsid w:val="00521848"/>
    <w:rsid w:val="00521CEF"/>
    <w:rsid w:val="005237AC"/>
    <w:rsid w:val="00523FCA"/>
    <w:rsid w:val="00524099"/>
    <w:rsid w:val="005252A0"/>
    <w:rsid w:val="00525415"/>
    <w:rsid w:val="0052624F"/>
    <w:rsid w:val="00526C71"/>
    <w:rsid w:val="00527A10"/>
    <w:rsid w:val="00527FA3"/>
    <w:rsid w:val="00531B8D"/>
    <w:rsid w:val="00532A98"/>
    <w:rsid w:val="005332DC"/>
    <w:rsid w:val="00533E2F"/>
    <w:rsid w:val="00534697"/>
    <w:rsid w:val="005349E2"/>
    <w:rsid w:val="00534CF1"/>
    <w:rsid w:val="00535C9C"/>
    <w:rsid w:val="00536775"/>
    <w:rsid w:val="00536921"/>
    <w:rsid w:val="00536FD0"/>
    <w:rsid w:val="005377D1"/>
    <w:rsid w:val="005400E0"/>
    <w:rsid w:val="0054036E"/>
    <w:rsid w:val="00540C95"/>
    <w:rsid w:val="00540FD7"/>
    <w:rsid w:val="00542434"/>
    <w:rsid w:val="00542A93"/>
    <w:rsid w:val="005432CC"/>
    <w:rsid w:val="005437B1"/>
    <w:rsid w:val="00544F48"/>
    <w:rsid w:val="00546734"/>
    <w:rsid w:val="00546ECB"/>
    <w:rsid w:val="00547EF3"/>
    <w:rsid w:val="00550228"/>
    <w:rsid w:val="005507E8"/>
    <w:rsid w:val="0055095D"/>
    <w:rsid w:val="00551B99"/>
    <w:rsid w:val="00552559"/>
    <w:rsid w:val="00553A90"/>
    <w:rsid w:val="00553C9F"/>
    <w:rsid w:val="0055439A"/>
    <w:rsid w:val="005548A7"/>
    <w:rsid w:val="00555DF1"/>
    <w:rsid w:val="00555E0E"/>
    <w:rsid w:val="0055658C"/>
    <w:rsid w:val="005574A0"/>
    <w:rsid w:val="00557663"/>
    <w:rsid w:val="00557764"/>
    <w:rsid w:val="00557B5B"/>
    <w:rsid w:val="00560388"/>
    <w:rsid w:val="00561841"/>
    <w:rsid w:val="00561CBF"/>
    <w:rsid w:val="00562848"/>
    <w:rsid w:val="00563DB5"/>
    <w:rsid w:val="00564352"/>
    <w:rsid w:val="00564D90"/>
    <w:rsid w:val="0056547B"/>
    <w:rsid w:val="00565638"/>
    <w:rsid w:val="005658E0"/>
    <w:rsid w:val="0056717E"/>
    <w:rsid w:val="00567468"/>
    <w:rsid w:val="00567F0C"/>
    <w:rsid w:val="00572878"/>
    <w:rsid w:val="00573389"/>
    <w:rsid w:val="005745A9"/>
    <w:rsid w:val="005746F3"/>
    <w:rsid w:val="00574924"/>
    <w:rsid w:val="00574E37"/>
    <w:rsid w:val="00574EF1"/>
    <w:rsid w:val="00575F8C"/>
    <w:rsid w:val="00576650"/>
    <w:rsid w:val="00576880"/>
    <w:rsid w:val="00576DB0"/>
    <w:rsid w:val="0057733E"/>
    <w:rsid w:val="005777A0"/>
    <w:rsid w:val="005802EA"/>
    <w:rsid w:val="005803E0"/>
    <w:rsid w:val="00580F28"/>
    <w:rsid w:val="00581092"/>
    <w:rsid w:val="0058144C"/>
    <w:rsid w:val="00581EDF"/>
    <w:rsid w:val="00581F85"/>
    <w:rsid w:val="005820C3"/>
    <w:rsid w:val="005834F6"/>
    <w:rsid w:val="0058394A"/>
    <w:rsid w:val="00583AF6"/>
    <w:rsid w:val="00584853"/>
    <w:rsid w:val="0058675B"/>
    <w:rsid w:val="00587010"/>
    <w:rsid w:val="005870DD"/>
    <w:rsid w:val="00592D0E"/>
    <w:rsid w:val="00592DA4"/>
    <w:rsid w:val="005930B2"/>
    <w:rsid w:val="005938F0"/>
    <w:rsid w:val="00594507"/>
    <w:rsid w:val="00594CBC"/>
    <w:rsid w:val="00595529"/>
    <w:rsid w:val="005979B4"/>
    <w:rsid w:val="005A0261"/>
    <w:rsid w:val="005A1162"/>
    <w:rsid w:val="005A2390"/>
    <w:rsid w:val="005A2D69"/>
    <w:rsid w:val="005A2EC3"/>
    <w:rsid w:val="005A4190"/>
    <w:rsid w:val="005A46F2"/>
    <w:rsid w:val="005A4BDD"/>
    <w:rsid w:val="005A4F72"/>
    <w:rsid w:val="005A53D0"/>
    <w:rsid w:val="005A6D60"/>
    <w:rsid w:val="005A78AA"/>
    <w:rsid w:val="005B0804"/>
    <w:rsid w:val="005B0920"/>
    <w:rsid w:val="005B117B"/>
    <w:rsid w:val="005B1478"/>
    <w:rsid w:val="005B1659"/>
    <w:rsid w:val="005B1CF5"/>
    <w:rsid w:val="005B2511"/>
    <w:rsid w:val="005B254B"/>
    <w:rsid w:val="005B4F7A"/>
    <w:rsid w:val="005B578D"/>
    <w:rsid w:val="005B59A5"/>
    <w:rsid w:val="005B5A69"/>
    <w:rsid w:val="005B5ADE"/>
    <w:rsid w:val="005B6DE8"/>
    <w:rsid w:val="005B752B"/>
    <w:rsid w:val="005B7E10"/>
    <w:rsid w:val="005C00B9"/>
    <w:rsid w:val="005C1360"/>
    <w:rsid w:val="005C1996"/>
    <w:rsid w:val="005C2D61"/>
    <w:rsid w:val="005C2FDA"/>
    <w:rsid w:val="005C4472"/>
    <w:rsid w:val="005C48EC"/>
    <w:rsid w:val="005C5E54"/>
    <w:rsid w:val="005C60E5"/>
    <w:rsid w:val="005C74C0"/>
    <w:rsid w:val="005C7C79"/>
    <w:rsid w:val="005D04A5"/>
    <w:rsid w:val="005D14EF"/>
    <w:rsid w:val="005D3F3C"/>
    <w:rsid w:val="005D4A5D"/>
    <w:rsid w:val="005D4D04"/>
    <w:rsid w:val="005D5390"/>
    <w:rsid w:val="005D5496"/>
    <w:rsid w:val="005D5530"/>
    <w:rsid w:val="005D5913"/>
    <w:rsid w:val="005D5F80"/>
    <w:rsid w:val="005D6302"/>
    <w:rsid w:val="005D6779"/>
    <w:rsid w:val="005D6ADA"/>
    <w:rsid w:val="005E00B3"/>
    <w:rsid w:val="005E1E60"/>
    <w:rsid w:val="005E2F1F"/>
    <w:rsid w:val="005E3517"/>
    <w:rsid w:val="005E5462"/>
    <w:rsid w:val="005E569F"/>
    <w:rsid w:val="005E7017"/>
    <w:rsid w:val="005E7C7F"/>
    <w:rsid w:val="005F0ED8"/>
    <w:rsid w:val="005F1179"/>
    <w:rsid w:val="005F1FC3"/>
    <w:rsid w:val="005F2852"/>
    <w:rsid w:val="005F525F"/>
    <w:rsid w:val="00600346"/>
    <w:rsid w:val="00600A22"/>
    <w:rsid w:val="00601C24"/>
    <w:rsid w:val="00601E89"/>
    <w:rsid w:val="00603ED4"/>
    <w:rsid w:val="006071CB"/>
    <w:rsid w:val="006120F0"/>
    <w:rsid w:val="00613F95"/>
    <w:rsid w:val="006140E7"/>
    <w:rsid w:val="00615124"/>
    <w:rsid w:val="00616A1A"/>
    <w:rsid w:val="006204FC"/>
    <w:rsid w:val="00620748"/>
    <w:rsid w:val="00621126"/>
    <w:rsid w:val="00621796"/>
    <w:rsid w:val="00621990"/>
    <w:rsid w:val="00622FCC"/>
    <w:rsid w:val="00623123"/>
    <w:rsid w:val="0062344A"/>
    <w:rsid w:val="0062379E"/>
    <w:rsid w:val="00623F13"/>
    <w:rsid w:val="0062477C"/>
    <w:rsid w:val="00626BFF"/>
    <w:rsid w:val="006275C2"/>
    <w:rsid w:val="00631186"/>
    <w:rsid w:val="00631D28"/>
    <w:rsid w:val="006330BD"/>
    <w:rsid w:val="0063310E"/>
    <w:rsid w:val="0063339E"/>
    <w:rsid w:val="00635917"/>
    <w:rsid w:val="0063748B"/>
    <w:rsid w:val="006379E6"/>
    <w:rsid w:val="00640950"/>
    <w:rsid w:val="00642B35"/>
    <w:rsid w:val="00643EE8"/>
    <w:rsid w:val="006445B5"/>
    <w:rsid w:val="00644E85"/>
    <w:rsid w:val="006462B3"/>
    <w:rsid w:val="00652493"/>
    <w:rsid w:val="00652856"/>
    <w:rsid w:val="00652F6F"/>
    <w:rsid w:val="00654C03"/>
    <w:rsid w:val="00654EF1"/>
    <w:rsid w:val="006551EC"/>
    <w:rsid w:val="006567F5"/>
    <w:rsid w:val="00656EED"/>
    <w:rsid w:val="00657542"/>
    <w:rsid w:val="00657761"/>
    <w:rsid w:val="00657E21"/>
    <w:rsid w:val="00657F41"/>
    <w:rsid w:val="006607CD"/>
    <w:rsid w:val="006617DD"/>
    <w:rsid w:val="00661A2C"/>
    <w:rsid w:val="00661CFA"/>
    <w:rsid w:val="00662528"/>
    <w:rsid w:val="00663003"/>
    <w:rsid w:val="00663E89"/>
    <w:rsid w:val="00665E21"/>
    <w:rsid w:val="00665F3B"/>
    <w:rsid w:val="00666135"/>
    <w:rsid w:val="00666B37"/>
    <w:rsid w:val="00670B20"/>
    <w:rsid w:val="00671988"/>
    <w:rsid w:val="00671D87"/>
    <w:rsid w:val="00672670"/>
    <w:rsid w:val="00673623"/>
    <w:rsid w:val="006738BA"/>
    <w:rsid w:val="0067484D"/>
    <w:rsid w:val="00675B7A"/>
    <w:rsid w:val="00676E65"/>
    <w:rsid w:val="00676EEC"/>
    <w:rsid w:val="00677648"/>
    <w:rsid w:val="00677945"/>
    <w:rsid w:val="00683E90"/>
    <w:rsid w:val="006841D0"/>
    <w:rsid w:val="0068454A"/>
    <w:rsid w:val="0068651C"/>
    <w:rsid w:val="00686550"/>
    <w:rsid w:val="00687336"/>
    <w:rsid w:val="006907C1"/>
    <w:rsid w:val="00690EB9"/>
    <w:rsid w:val="006914E1"/>
    <w:rsid w:val="0069202B"/>
    <w:rsid w:val="006925C4"/>
    <w:rsid w:val="006940C1"/>
    <w:rsid w:val="00694EA0"/>
    <w:rsid w:val="006951C8"/>
    <w:rsid w:val="00695334"/>
    <w:rsid w:val="0069569D"/>
    <w:rsid w:val="00696169"/>
    <w:rsid w:val="00696CED"/>
    <w:rsid w:val="00696F90"/>
    <w:rsid w:val="00697840"/>
    <w:rsid w:val="006A0DA6"/>
    <w:rsid w:val="006A2AB2"/>
    <w:rsid w:val="006A2CF8"/>
    <w:rsid w:val="006A40FA"/>
    <w:rsid w:val="006B0BD0"/>
    <w:rsid w:val="006B0C64"/>
    <w:rsid w:val="006B0E94"/>
    <w:rsid w:val="006B327B"/>
    <w:rsid w:val="006B3DB6"/>
    <w:rsid w:val="006B3FBC"/>
    <w:rsid w:val="006B432C"/>
    <w:rsid w:val="006B4705"/>
    <w:rsid w:val="006B4A7B"/>
    <w:rsid w:val="006B51DD"/>
    <w:rsid w:val="006B53FB"/>
    <w:rsid w:val="006B5445"/>
    <w:rsid w:val="006B5885"/>
    <w:rsid w:val="006B6900"/>
    <w:rsid w:val="006B72CD"/>
    <w:rsid w:val="006C0624"/>
    <w:rsid w:val="006C1161"/>
    <w:rsid w:val="006C1CD1"/>
    <w:rsid w:val="006C2726"/>
    <w:rsid w:val="006C2818"/>
    <w:rsid w:val="006C2D0A"/>
    <w:rsid w:val="006C4538"/>
    <w:rsid w:val="006C539F"/>
    <w:rsid w:val="006C6407"/>
    <w:rsid w:val="006C6DE6"/>
    <w:rsid w:val="006C7511"/>
    <w:rsid w:val="006D19EC"/>
    <w:rsid w:val="006D1E4B"/>
    <w:rsid w:val="006D1F66"/>
    <w:rsid w:val="006D2036"/>
    <w:rsid w:val="006D205F"/>
    <w:rsid w:val="006D379B"/>
    <w:rsid w:val="006D4604"/>
    <w:rsid w:val="006D473E"/>
    <w:rsid w:val="006E05AE"/>
    <w:rsid w:val="006E19F5"/>
    <w:rsid w:val="006E2319"/>
    <w:rsid w:val="006E2F28"/>
    <w:rsid w:val="006E30DB"/>
    <w:rsid w:val="006E320B"/>
    <w:rsid w:val="006E373F"/>
    <w:rsid w:val="006E3CE4"/>
    <w:rsid w:val="006E46D4"/>
    <w:rsid w:val="006E4C2E"/>
    <w:rsid w:val="006E4CEA"/>
    <w:rsid w:val="006E5AF5"/>
    <w:rsid w:val="006E6E49"/>
    <w:rsid w:val="006E7E5F"/>
    <w:rsid w:val="006F0B12"/>
    <w:rsid w:val="006F1E85"/>
    <w:rsid w:val="006F3289"/>
    <w:rsid w:val="006F35D7"/>
    <w:rsid w:val="006F54B2"/>
    <w:rsid w:val="006F6AEB"/>
    <w:rsid w:val="007004EF"/>
    <w:rsid w:val="00701BD1"/>
    <w:rsid w:val="00701CE0"/>
    <w:rsid w:val="00701DF6"/>
    <w:rsid w:val="00703110"/>
    <w:rsid w:val="0070393B"/>
    <w:rsid w:val="0070416D"/>
    <w:rsid w:val="00704D46"/>
    <w:rsid w:val="00705DCD"/>
    <w:rsid w:val="0070711E"/>
    <w:rsid w:val="0070776B"/>
    <w:rsid w:val="00710325"/>
    <w:rsid w:val="007109B2"/>
    <w:rsid w:val="00711342"/>
    <w:rsid w:val="00712E17"/>
    <w:rsid w:val="0071471A"/>
    <w:rsid w:val="007159C6"/>
    <w:rsid w:val="00715A68"/>
    <w:rsid w:val="00716A47"/>
    <w:rsid w:val="0071722A"/>
    <w:rsid w:val="007173B9"/>
    <w:rsid w:val="007201C6"/>
    <w:rsid w:val="0072084A"/>
    <w:rsid w:val="007208B4"/>
    <w:rsid w:val="00720C6C"/>
    <w:rsid w:val="007215D2"/>
    <w:rsid w:val="007218CD"/>
    <w:rsid w:val="00722068"/>
    <w:rsid w:val="00722125"/>
    <w:rsid w:val="00722257"/>
    <w:rsid w:val="00722924"/>
    <w:rsid w:val="0072583C"/>
    <w:rsid w:val="00726C8F"/>
    <w:rsid w:val="00727F63"/>
    <w:rsid w:val="00730F16"/>
    <w:rsid w:val="00730F5C"/>
    <w:rsid w:val="007319B3"/>
    <w:rsid w:val="0073248D"/>
    <w:rsid w:val="00732E21"/>
    <w:rsid w:val="0073345E"/>
    <w:rsid w:val="00733A2E"/>
    <w:rsid w:val="0073512C"/>
    <w:rsid w:val="0073557F"/>
    <w:rsid w:val="00735618"/>
    <w:rsid w:val="007369D4"/>
    <w:rsid w:val="00736C2C"/>
    <w:rsid w:val="007370EB"/>
    <w:rsid w:val="0074006F"/>
    <w:rsid w:val="007412C9"/>
    <w:rsid w:val="00742CB9"/>
    <w:rsid w:val="00742E34"/>
    <w:rsid w:val="0074316F"/>
    <w:rsid w:val="007441FD"/>
    <w:rsid w:val="00744688"/>
    <w:rsid w:val="00745495"/>
    <w:rsid w:val="007455A8"/>
    <w:rsid w:val="00746139"/>
    <w:rsid w:val="00746BCF"/>
    <w:rsid w:val="00750A86"/>
    <w:rsid w:val="00750AC1"/>
    <w:rsid w:val="00750EEF"/>
    <w:rsid w:val="0075104F"/>
    <w:rsid w:val="0075136E"/>
    <w:rsid w:val="00753453"/>
    <w:rsid w:val="0075421B"/>
    <w:rsid w:val="00754921"/>
    <w:rsid w:val="00754D4D"/>
    <w:rsid w:val="007570BC"/>
    <w:rsid w:val="0075720C"/>
    <w:rsid w:val="00757551"/>
    <w:rsid w:val="00757F74"/>
    <w:rsid w:val="00761230"/>
    <w:rsid w:val="0076268B"/>
    <w:rsid w:val="00762A2E"/>
    <w:rsid w:val="00763FE4"/>
    <w:rsid w:val="0076445B"/>
    <w:rsid w:val="007664F6"/>
    <w:rsid w:val="00767959"/>
    <w:rsid w:val="00767E47"/>
    <w:rsid w:val="00770055"/>
    <w:rsid w:val="00770417"/>
    <w:rsid w:val="00770813"/>
    <w:rsid w:val="00771FE9"/>
    <w:rsid w:val="007721C3"/>
    <w:rsid w:val="00772F05"/>
    <w:rsid w:val="00773869"/>
    <w:rsid w:val="00773EF1"/>
    <w:rsid w:val="007740A2"/>
    <w:rsid w:val="007743CE"/>
    <w:rsid w:val="007748AE"/>
    <w:rsid w:val="00775044"/>
    <w:rsid w:val="007752F1"/>
    <w:rsid w:val="00775323"/>
    <w:rsid w:val="00775535"/>
    <w:rsid w:val="007766A7"/>
    <w:rsid w:val="0077676F"/>
    <w:rsid w:val="0078042D"/>
    <w:rsid w:val="00780A76"/>
    <w:rsid w:val="00780C22"/>
    <w:rsid w:val="00781D6C"/>
    <w:rsid w:val="007823F3"/>
    <w:rsid w:val="00782680"/>
    <w:rsid w:val="00782780"/>
    <w:rsid w:val="00782EEF"/>
    <w:rsid w:val="00782F2E"/>
    <w:rsid w:val="00783722"/>
    <w:rsid w:val="0078378A"/>
    <w:rsid w:val="00783875"/>
    <w:rsid w:val="00783F87"/>
    <w:rsid w:val="00785733"/>
    <w:rsid w:val="0078587C"/>
    <w:rsid w:val="00785ED4"/>
    <w:rsid w:val="00791031"/>
    <w:rsid w:val="00791EEF"/>
    <w:rsid w:val="00792370"/>
    <w:rsid w:val="0079358F"/>
    <w:rsid w:val="00793D41"/>
    <w:rsid w:val="00793DE6"/>
    <w:rsid w:val="00794B6E"/>
    <w:rsid w:val="00795C38"/>
    <w:rsid w:val="00795DBB"/>
    <w:rsid w:val="0079699A"/>
    <w:rsid w:val="00796D01"/>
    <w:rsid w:val="00796D77"/>
    <w:rsid w:val="00797165"/>
    <w:rsid w:val="007A01B2"/>
    <w:rsid w:val="007A0751"/>
    <w:rsid w:val="007A079F"/>
    <w:rsid w:val="007A2014"/>
    <w:rsid w:val="007A26BF"/>
    <w:rsid w:val="007A276D"/>
    <w:rsid w:val="007A3AE2"/>
    <w:rsid w:val="007A3DDF"/>
    <w:rsid w:val="007A4A5A"/>
    <w:rsid w:val="007A50E9"/>
    <w:rsid w:val="007A5FF6"/>
    <w:rsid w:val="007A797D"/>
    <w:rsid w:val="007B04E3"/>
    <w:rsid w:val="007B0B3A"/>
    <w:rsid w:val="007B0B3C"/>
    <w:rsid w:val="007B12CE"/>
    <w:rsid w:val="007B286D"/>
    <w:rsid w:val="007B30DA"/>
    <w:rsid w:val="007B3164"/>
    <w:rsid w:val="007B39BF"/>
    <w:rsid w:val="007B5A34"/>
    <w:rsid w:val="007B5F3A"/>
    <w:rsid w:val="007B6010"/>
    <w:rsid w:val="007B64DF"/>
    <w:rsid w:val="007B6535"/>
    <w:rsid w:val="007B75EF"/>
    <w:rsid w:val="007C091F"/>
    <w:rsid w:val="007C178D"/>
    <w:rsid w:val="007C3257"/>
    <w:rsid w:val="007C72FB"/>
    <w:rsid w:val="007D0457"/>
    <w:rsid w:val="007D0C81"/>
    <w:rsid w:val="007D3853"/>
    <w:rsid w:val="007D3C9F"/>
    <w:rsid w:val="007D58CB"/>
    <w:rsid w:val="007D5FE1"/>
    <w:rsid w:val="007D6EBE"/>
    <w:rsid w:val="007D7FFC"/>
    <w:rsid w:val="007E1E0A"/>
    <w:rsid w:val="007E26A4"/>
    <w:rsid w:val="007E2DA7"/>
    <w:rsid w:val="007E32D1"/>
    <w:rsid w:val="007E387D"/>
    <w:rsid w:val="007E3FC9"/>
    <w:rsid w:val="007E5E07"/>
    <w:rsid w:val="007E6FAF"/>
    <w:rsid w:val="007E758B"/>
    <w:rsid w:val="007E785B"/>
    <w:rsid w:val="007E7EF0"/>
    <w:rsid w:val="007F00B0"/>
    <w:rsid w:val="007F029F"/>
    <w:rsid w:val="007F12E6"/>
    <w:rsid w:val="007F1836"/>
    <w:rsid w:val="007F21BD"/>
    <w:rsid w:val="007F3FEA"/>
    <w:rsid w:val="007F47E6"/>
    <w:rsid w:val="007F5164"/>
    <w:rsid w:val="007F5AFA"/>
    <w:rsid w:val="007F5D00"/>
    <w:rsid w:val="007F5EAD"/>
    <w:rsid w:val="007F6456"/>
    <w:rsid w:val="007F649C"/>
    <w:rsid w:val="007F67B2"/>
    <w:rsid w:val="007F7938"/>
    <w:rsid w:val="008007A0"/>
    <w:rsid w:val="00802C40"/>
    <w:rsid w:val="00802F1F"/>
    <w:rsid w:val="008039CA"/>
    <w:rsid w:val="0080592C"/>
    <w:rsid w:val="0080638B"/>
    <w:rsid w:val="00806ADE"/>
    <w:rsid w:val="00806F7A"/>
    <w:rsid w:val="0080762B"/>
    <w:rsid w:val="00807D5D"/>
    <w:rsid w:val="00810A24"/>
    <w:rsid w:val="008111F0"/>
    <w:rsid w:val="00811346"/>
    <w:rsid w:val="0081226B"/>
    <w:rsid w:val="008134E8"/>
    <w:rsid w:val="008147B5"/>
    <w:rsid w:val="00814D3F"/>
    <w:rsid w:val="008153DB"/>
    <w:rsid w:val="008162A0"/>
    <w:rsid w:val="008168C1"/>
    <w:rsid w:val="008210F1"/>
    <w:rsid w:val="008211E4"/>
    <w:rsid w:val="0082147C"/>
    <w:rsid w:val="00821C3F"/>
    <w:rsid w:val="0082224C"/>
    <w:rsid w:val="008223A8"/>
    <w:rsid w:val="008232CA"/>
    <w:rsid w:val="008236BD"/>
    <w:rsid w:val="00823703"/>
    <w:rsid w:val="00823885"/>
    <w:rsid w:val="0082408B"/>
    <w:rsid w:val="00824695"/>
    <w:rsid w:val="00824BB6"/>
    <w:rsid w:val="00825723"/>
    <w:rsid w:val="00826331"/>
    <w:rsid w:val="00827B07"/>
    <w:rsid w:val="00827BFC"/>
    <w:rsid w:val="00827D4B"/>
    <w:rsid w:val="00830393"/>
    <w:rsid w:val="008322C0"/>
    <w:rsid w:val="00832B80"/>
    <w:rsid w:val="00833D5A"/>
    <w:rsid w:val="00834ABC"/>
    <w:rsid w:val="00834B95"/>
    <w:rsid w:val="00834D90"/>
    <w:rsid w:val="00834F6F"/>
    <w:rsid w:val="00835176"/>
    <w:rsid w:val="00835238"/>
    <w:rsid w:val="00836614"/>
    <w:rsid w:val="008410CB"/>
    <w:rsid w:val="008412DE"/>
    <w:rsid w:val="00841680"/>
    <w:rsid w:val="0084170A"/>
    <w:rsid w:val="0084213E"/>
    <w:rsid w:val="00842C5B"/>
    <w:rsid w:val="00843E6F"/>
    <w:rsid w:val="008447B0"/>
    <w:rsid w:val="00844E6B"/>
    <w:rsid w:val="00845657"/>
    <w:rsid w:val="00846095"/>
    <w:rsid w:val="00846781"/>
    <w:rsid w:val="00846EF2"/>
    <w:rsid w:val="008473B6"/>
    <w:rsid w:val="008516F5"/>
    <w:rsid w:val="00851DBE"/>
    <w:rsid w:val="00853C06"/>
    <w:rsid w:val="008541D0"/>
    <w:rsid w:val="008546D3"/>
    <w:rsid w:val="00854E7B"/>
    <w:rsid w:val="008560CE"/>
    <w:rsid w:val="00856250"/>
    <w:rsid w:val="0085726F"/>
    <w:rsid w:val="0085756A"/>
    <w:rsid w:val="008575BE"/>
    <w:rsid w:val="00857F75"/>
    <w:rsid w:val="00860EE7"/>
    <w:rsid w:val="0086128D"/>
    <w:rsid w:val="008635A0"/>
    <w:rsid w:val="00863733"/>
    <w:rsid w:val="00863A99"/>
    <w:rsid w:val="00864E92"/>
    <w:rsid w:val="00865E9D"/>
    <w:rsid w:val="00867B86"/>
    <w:rsid w:val="008700AA"/>
    <w:rsid w:val="00870B18"/>
    <w:rsid w:val="0087120E"/>
    <w:rsid w:val="0087267A"/>
    <w:rsid w:val="00872902"/>
    <w:rsid w:val="00873CA2"/>
    <w:rsid w:val="008741E2"/>
    <w:rsid w:val="00874BB6"/>
    <w:rsid w:val="00875A60"/>
    <w:rsid w:val="00876421"/>
    <w:rsid w:val="00876472"/>
    <w:rsid w:val="00876924"/>
    <w:rsid w:val="0087727A"/>
    <w:rsid w:val="0087790B"/>
    <w:rsid w:val="00877A81"/>
    <w:rsid w:val="008818A9"/>
    <w:rsid w:val="00881C81"/>
    <w:rsid w:val="008828B9"/>
    <w:rsid w:val="008829C8"/>
    <w:rsid w:val="00882BBB"/>
    <w:rsid w:val="00883612"/>
    <w:rsid w:val="0088507F"/>
    <w:rsid w:val="00885672"/>
    <w:rsid w:val="00887C3B"/>
    <w:rsid w:val="0089015B"/>
    <w:rsid w:val="008913F3"/>
    <w:rsid w:val="008923DD"/>
    <w:rsid w:val="00892989"/>
    <w:rsid w:val="00892CD8"/>
    <w:rsid w:val="008931F6"/>
    <w:rsid w:val="008932AD"/>
    <w:rsid w:val="008934F9"/>
    <w:rsid w:val="00893F3C"/>
    <w:rsid w:val="00895716"/>
    <w:rsid w:val="00895EE7"/>
    <w:rsid w:val="00896B26"/>
    <w:rsid w:val="00896BB0"/>
    <w:rsid w:val="00897534"/>
    <w:rsid w:val="00897B17"/>
    <w:rsid w:val="008A0648"/>
    <w:rsid w:val="008A0A88"/>
    <w:rsid w:val="008A1419"/>
    <w:rsid w:val="008A1773"/>
    <w:rsid w:val="008A2B66"/>
    <w:rsid w:val="008A2ED8"/>
    <w:rsid w:val="008A3BD8"/>
    <w:rsid w:val="008A4311"/>
    <w:rsid w:val="008A44F5"/>
    <w:rsid w:val="008A510D"/>
    <w:rsid w:val="008A5F3D"/>
    <w:rsid w:val="008A7103"/>
    <w:rsid w:val="008A7275"/>
    <w:rsid w:val="008A795F"/>
    <w:rsid w:val="008B04EE"/>
    <w:rsid w:val="008B1EB5"/>
    <w:rsid w:val="008B220C"/>
    <w:rsid w:val="008B3B52"/>
    <w:rsid w:val="008B4F7C"/>
    <w:rsid w:val="008B72FC"/>
    <w:rsid w:val="008C095D"/>
    <w:rsid w:val="008C0EC8"/>
    <w:rsid w:val="008C16F2"/>
    <w:rsid w:val="008C2044"/>
    <w:rsid w:val="008C3D63"/>
    <w:rsid w:val="008C4468"/>
    <w:rsid w:val="008C5477"/>
    <w:rsid w:val="008C5762"/>
    <w:rsid w:val="008C5D0B"/>
    <w:rsid w:val="008C603C"/>
    <w:rsid w:val="008C6C1E"/>
    <w:rsid w:val="008D0C5A"/>
    <w:rsid w:val="008D236C"/>
    <w:rsid w:val="008D2C8E"/>
    <w:rsid w:val="008D2F6D"/>
    <w:rsid w:val="008D2F84"/>
    <w:rsid w:val="008D4327"/>
    <w:rsid w:val="008D444C"/>
    <w:rsid w:val="008D4BA5"/>
    <w:rsid w:val="008D5732"/>
    <w:rsid w:val="008D7B52"/>
    <w:rsid w:val="008E0250"/>
    <w:rsid w:val="008E0642"/>
    <w:rsid w:val="008E0ADF"/>
    <w:rsid w:val="008E0E23"/>
    <w:rsid w:val="008E1695"/>
    <w:rsid w:val="008E1CCB"/>
    <w:rsid w:val="008E2339"/>
    <w:rsid w:val="008E2588"/>
    <w:rsid w:val="008E2EA2"/>
    <w:rsid w:val="008E5B91"/>
    <w:rsid w:val="008E5BF6"/>
    <w:rsid w:val="008E7655"/>
    <w:rsid w:val="008F08FC"/>
    <w:rsid w:val="008F162B"/>
    <w:rsid w:val="008F277C"/>
    <w:rsid w:val="008F2D83"/>
    <w:rsid w:val="008F3578"/>
    <w:rsid w:val="008F5D68"/>
    <w:rsid w:val="008F68D0"/>
    <w:rsid w:val="008F6BBC"/>
    <w:rsid w:val="009001F9"/>
    <w:rsid w:val="00900659"/>
    <w:rsid w:val="00901145"/>
    <w:rsid w:val="00902848"/>
    <w:rsid w:val="00902B4A"/>
    <w:rsid w:val="00903029"/>
    <w:rsid w:val="0090363B"/>
    <w:rsid w:val="0090378A"/>
    <w:rsid w:val="00904728"/>
    <w:rsid w:val="009047E6"/>
    <w:rsid w:val="00905305"/>
    <w:rsid w:val="00905A24"/>
    <w:rsid w:val="00907FDD"/>
    <w:rsid w:val="00911847"/>
    <w:rsid w:val="00911B89"/>
    <w:rsid w:val="00913406"/>
    <w:rsid w:val="00913874"/>
    <w:rsid w:val="00913B68"/>
    <w:rsid w:val="00914214"/>
    <w:rsid w:val="009144E3"/>
    <w:rsid w:val="0091452F"/>
    <w:rsid w:val="00914540"/>
    <w:rsid w:val="00914541"/>
    <w:rsid w:val="009149F8"/>
    <w:rsid w:val="00914A3A"/>
    <w:rsid w:val="00915052"/>
    <w:rsid w:val="00915F3C"/>
    <w:rsid w:val="00916273"/>
    <w:rsid w:val="009169EC"/>
    <w:rsid w:val="00917095"/>
    <w:rsid w:val="009205A3"/>
    <w:rsid w:val="00920930"/>
    <w:rsid w:val="00920A7E"/>
    <w:rsid w:val="009212F5"/>
    <w:rsid w:val="009220A4"/>
    <w:rsid w:val="00922F5E"/>
    <w:rsid w:val="00923579"/>
    <w:rsid w:val="00923FBF"/>
    <w:rsid w:val="00924DF8"/>
    <w:rsid w:val="00925496"/>
    <w:rsid w:val="009261B4"/>
    <w:rsid w:val="009267B7"/>
    <w:rsid w:val="009267FB"/>
    <w:rsid w:val="00927801"/>
    <w:rsid w:val="00927F25"/>
    <w:rsid w:val="00930A80"/>
    <w:rsid w:val="0093182D"/>
    <w:rsid w:val="009325D2"/>
    <w:rsid w:val="0093275A"/>
    <w:rsid w:val="00932BD4"/>
    <w:rsid w:val="0093337D"/>
    <w:rsid w:val="00934309"/>
    <w:rsid w:val="00935023"/>
    <w:rsid w:val="00935B3A"/>
    <w:rsid w:val="0093651E"/>
    <w:rsid w:val="00937162"/>
    <w:rsid w:val="00937BEC"/>
    <w:rsid w:val="00940D3D"/>
    <w:rsid w:val="009411F8"/>
    <w:rsid w:val="00942E87"/>
    <w:rsid w:val="00942F2D"/>
    <w:rsid w:val="00943417"/>
    <w:rsid w:val="00944061"/>
    <w:rsid w:val="009454F3"/>
    <w:rsid w:val="00945A40"/>
    <w:rsid w:val="00945DAC"/>
    <w:rsid w:val="009465D8"/>
    <w:rsid w:val="00947CD7"/>
    <w:rsid w:val="00950ADB"/>
    <w:rsid w:val="00952DC6"/>
    <w:rsid w:val="009543B1"/>
    <w:rsid w:val="009545D0"/>
    <w:rsid w:val="00954998"/>
    <w:rsid w:val="00954B4C"/>
    <w:rsid w:val="00955501"/>
    <w:rsid w:val="00955DF3"/>
    <w:rsid w:val="0095683F"/>
    <w:rsid w:val="009568BD"/>
    <w:rsid w:val="009617B4"/>
    <w:rsid w:val="00962E41"/>
    <w:rsid w:val="009640D0"/>
    <w:rsid w:val="009641B6"/>
    <w:rsid w:val="009649A9"/>
    <w:rsid w:val="00965B61"/>
    <w:rsid w:val="0096647A"/>
    <w:rsid w:val="0096655D"/>
    <w:rsid w:val="00966B68"/>
    <w:rsid w:val="00967034"/>
    <w:rsid w:val="00967254"/>
    <w:rsid w:val="00970CB3"/>
    <w:rsid w:val="009716CF"/>
    <w:rsid w:val="00972D3E"/>
    <w:rsid w:val="0097331A"/>
    <w:rsid w:val="00973EA6"/>
    <w:rsid w:val="00974BBD"/>
    <w:rsid w:val="009774E9"/>
    <w:rsid w:val="00977D03"/>
    <w:rsid w:val="009806A5"/>
    <w:rsid w:val="00982165"/>
    <w:rsid w:val="009825C6"/>
    <w:rsid w:val="0098309A"/>
    <w:rsid w:val="00983CDF"/>
    <w:rsid w:val="00984419"/>
    <w:rsid w:val="00984B4F"/>
    <w:rsid w:val="00984D66"/>
    <w:rsid w:val="009850AD"/>
    <w:rsid w:val="00985862"/>
    <w:rsid w:val="009867B6"/>
    <w:rsid w:val="00987752"/>
    <w:rsid w:val="009903A4"/>
    <w:rsid w:val="00990E95"/>
    <w:rsid w:val="00991BD0"/>
    <w:rsid w:val="00993DE5"/>
    <w:rsid w:val="009945F9"/>
    <w:rsid w:val="00995E70"/>
    <w:rsid w:val="0099730F"/>
    <w:rsid w:val="00997FBA"/>
    <w:rsid w:val="009A1292"/>
    <w:rsid w:val="009A20D2"/>
    <w:rsid w:val="009A2E65"/>
    <w:rsid w:val="009A2FC7"/>
    <w:rsid w:val="009A4212"/>
    <w:rsid w:val="009A5A3B"/>
    <w:rsid w:val="009A6181"/>
    <w:rsid w:val="009A620B"/>
    <w:rsid w:val="009A798A"/>
    <w:rsid w:val="009A7F5D"/>
    <w:rsid w:val="009B019A"/>
    <w:rsid w:val="009B0298"/>
    <w:rsid w:val="009B0BE7"/>
    <w:rsid w:val="009B0D9E"/>
    <w:rsid w:val="009B11A7"/>
    <w:rsid w:val="009B1476"/>
    <w:rsid w:val="009B16DB"/>
    <w:rsid w:val="009B1E2D"/>
    <w:rsid w:val="009B2077"/>
    <w:rsid w:val="009B376E"/>
    <w:rsid w:val="009B44E7"/>
    <w:rsid w:val="009B5D2F"/>
    <w:rsid w:val="009B6E99"/>
    <w:rsid w:val="009B7567"/>
    <w:rsid w:val="009B781C"/>
    <w:rsid w:val="009C004D"/>
    <w:rsid w:val="009C184D"/>
    <w:rsid w:val="009C3305"/>
    <w:rsid w:val="009C37D3"/>
    <w:rsid w:val="009C3B2B"/>
    <w:rsid w:val="009C5782"/>
    <w:rsid w:val="009C664E"/>
    <w:rsid w:val="009C7289"/>
    <w:rsid w:val="009D02B0"/>
    <w:rsid w:val="009D1BEE"/>
    <w:rsid w:val="009D2F65"/>
    <w:rsid w:val="009D3174"/>
    <w:rsid w:val="009D330B"/>
    <w:rsid w:val="009D4211"/>
    <w:rsid w:val="009D56C2"/>
    <w:rsid w:val="009D5E15"/>
    <w:rsid w:val="009D64FC"/>
    <w:rsid w:val="009D65F0"/>
    <w:rsid w:val="009E0013"/>
    <w:rsid w:val="009E129F"/>
    <w:rsid w:val="009E1459"/>
    <w:rsid w:val="009E1818"/>
    <w:rsid w:val="009E18DE"/>
    <w:rsid w:val="009E1C7A"/>
    <w:rsid w:val="009E265A"/>
    <w:rsid w:val="009E38AB"/>
    <w:rsid w:val="009E413D"/>
    <w:rsid w:val="009E4EE3"/>
    <w:rsid w:val="009E5452"/>
    <w:rsid w:val="009F07B1"/>
    <w:rsid w:val="009F1D01"/>
    <w:rsid w:val="009F20E7"/>
    <w:rsid w:val="009F36FB"/>
    <w:rsid w:val="009F3F95"/>
    <w:rsid w:val="009F401D"/>
    <w:rsid w:val="009F4AA0"/>
    <w:rsid w:val="009F4DBA"/>
    <w:rsid w:val="009F50D2"/>
    <w:rsid w:val="009F5512"/>
    <w:rsid w:val="009F6685"/>
    <w:rsid w:val="009F670A"/>
    <w:rsid w:val="009F6AAA"/>
    <w:rsid w:val="009F75F2"/>
    <w:rsid w:val="009F7AFF"/>
    <w:rsid w:val="009F7D4C"/>
    <w:rsid w:val="00A0189E"/>
    <w:rsid w:val="00A01F31"/>
    <w:rsid w:val="00A03581"/>
    <w:rsid w:val="00A0365D"/>
    <w:rsid w:val="00A03D19"/>
    <w:rsid w:val="00A04E05"/>
    <w:rsid w:val="00A05BC0"/>
    <w:rsid w:val="00A11297"/>
    <w:rsid w:val="00A1435E"/>
    <w:rsid w:val="00A14C1F"/>
    <w:rsid w:val="00A15E10"/>
    <w:rsid w:val="00A16B74"/>
    <w:rsid w:val="00A16DDF"/>
    <w:rsid w:val="00A17496"/>
    <w:rsid w:val="00A1759D"/>
    <w:rsid w:val="00A17925"/>
    <w:rsid w:val="00A17A19"/>
    <w:rsid w:val="00A20806"/>
    <w:rsid w:val="00A209E9"/>
    <w:rsid w:val="00A20CCD"/>
    <w:rsid w:val="00A2111E"/>
    <w:rsid w:val="00A21559"/>
    <w:rsid w:val="00A22254"/>
    <w:rsid w:val="00A22B3C"/>
    <w:rsid w:val="00A23FF0"/>
    <w:rsid w:val="00A24AAA"/>
    <w:rsid w:val="00A25031"/>
    <w:rsid w:val="00A25B29"/>
    <w:rsid w:val="00A26A05"/>
    <w:rsid w:val="00A26F82"/>
    <w:rsid w:val="00A271A5"/>
    <w:rsid w:val="00A312D0"/>
    <w:rsid w:val="00A314E6"/>
    <w:rsid w:val="00A3157A"/>
    <w:rsid w:val="00A3204A"/>
    <w:rsid w:val="00A33DCB"/>
    <w:rsid w:val="00A34119"/>
    <w:rsid w:val="00A35CDA"/>
    <w:rsid w:val="00A36258"/>
    <w:rsid w:val="00A37DA4"/>
    <w:rsid w:val="00A401F7"/>
    <w:rsid w:val="00A41DAD"/>
    <w:rsid w:val="00A4305F"/>
    <w:rsid w:val="00A453AC"/>
    <w:rsid w:val="00A453F8"/>
    <w:rsid w:val="00A45423"/>
    <w:rsid w:val="00A45E56"/>
    <w:rsid w:val="00A47270"/>
    <w:rsid w:val="00A47C23"/>
    <w:rsid w:val="00A47FF4"/>
    <w:rsid w:val="00A50482"/>
    <w:rsid w:val="00A5082E"/>
    <w:rsid w:val="00A508FB"/>
    <w:rsid w:val="00A51506"/>
    <w:rsid w:val="00A53D82"/>
    <w:rsid w:val="00A54840"/>
    <w:rsid w:val="00A54AC8"/>
    <w:rsid w:val="00A54E7D"/>
    <w:rsid w:val="00A56D67"/>
    <w:rsid w:val="00A56FA6"/>
    <w:rsid w:val="00A57731"/>
    <w:rsid w:val="00A57BB8"/>
    <w:rsid w:val="00A60FF1"/>
    <w:rsid w:val="00A61782"/>
    <w:rsid w:val="00A61DC6"/>
    <w:rsid w:val="00A630FA"/>
    <w:rsid w:val="00A63706"/>
    <w:rsid w:val="00A64062"/>
    <w:rsid w:val="00A64518"/>
    <w:rsid w:val="00A651DE"/>
    <w:rsid w:val="00A651EF"/>
    <w:rsid w:val="00A65674"/>
    <w:rsid w:val="00A65842"/>
    <w:rsid w:val="00A66C9B"/>
    <w:rsid w:val="00A67456"/>
    <w:rsid w:val="00A6756C"/>
    <w:rsid w:val="00A67C79"/>
    <w:rsid w:val="00A70C43"/>
    <w:rsid w:val="00A71756"/>
    <w:rsid w:val="00A717E8"/>
    <w:rsid w:val="00A72CCF"/>
    <w:rsid w:val="00A73B2A"/>
    <w:rsid w:val="00A748EA"/>
    <w:rsid w:val="00A75265"/>
    <w:rsid w:val="00A75430"/>
    <w:rsid w:val="00A7624A"/>
    <w:rsid w:val="00A805AA"/>
    <w:rsid w:val="00A81367"/>
    <w:rsid w:val="00A82AF0"/>
    <w:rsid w:val="00A83833"/>
    <w:rsid w:val="00A84C3F"/>
    <w:rsid w:val="00A8531C"/>
    <w:rsid w:val="00A862D4"/>
    <w:rsid w:val="00A8686A"/>
    <w:rsid w:val="00A913D5"/>
    <w:rsid w:val="00A92962"/>
    <w:rsid w:val="00A92E2F"/>
    <w:rsid w:val="00A97062"/>
    <w:rsid w:val="00A970F0"/>
    <w:rsid w:val="00A97E1D"/>
    <w:rsid w:val="00AA1D64"/>
    <w:rsid w:val="00AA22C3"/>
    <w:rsid w:val="00AA29B4"/>
    <w:rsid w:val="00AA3180"/>
    <w:rsid w:val="00AA3C0F"/>
    <w:rsid w:val="00AA59AC"/>
    <w:rsid w:val="00AA5DA0"/>
    <w:rsid w:val="00AA6BA7"/>
    <w:rsid w:val="00AB069D"/>
    <w:rsid w:val="00AB0970"/>
    <w:rsid w:val="00AB0B9D"/>
    <w:rsid w:val="00AB1CFA"/>
    <w:rsid w:val="00AB39F9"/>
    <w:rsid w:val="00AB3AA1"/>
    <w:rsid w:val="00AB3C7F"/>
    <w:rsid w:val="00AB54D7"/>
    <w:rsid w:val="00AB7A80"/>
    <w:rsid w:val="00AB7B97"/>
    <w:rsid w:val="00AC0066"/>
    <w:rsid w:val="00AC026A"/>
    <w:rsid w:val="00AC08EE"/>
    <w:rsid w:val="00AC0CFA"/>
    <w:rsid w:val="00AC1184"/>
    <w:rsid w:val="00AC14B3"/>
    <w:rsid w:val="00AC22E7"/>
    <w:rsid w:val="00AC23AC"/>
    <w:rsid w:val="00AC541C"/>
    <w:rsid w:val="00AC5EDA"/>
    <w:rsid w:val="00AC6BEA"/>
    <w:rsid w:val="00AC78C2"/>
    <w:rsid w:val="00AD03C0"/>
    <w:rsid w:val="00AD0576"/>
    <w:rsid w:val="00AD14FF"/>
    <w:rsid w:val="00AD1776"/>
    <w:rsid w:val="00AD29BD"/>
    <w:rsid w:val="00AD2B72"/>
    <w:rsid w:val="00AD39FF"/>
    <w:rsid w:val="00AD4664"/>
    <w:rsid w:val="00AD4A1B"/>
    <w:rsid w:val="00AD4F42"/>
    <w:rsid w:val="00AD73DC"/>
    <w:rsid w:val="00AD74A2"/>
    <w:rsid w:val="00AD7660"/>
    <w:rsid w:val="00AD7FC2"/>
    <w:rsid w:val="00AE07AE"/>
    <w:rsid w:val="00AE3386"/>
    <w:rsid w:val="00AE3EB7"/>
    <w:rsid w:val="00AE5247"/>
    <w:rsid w:val="00AF115E"/>
    <w:rsid w:val="00AF24C4"/>
    <w:rsid w:val="00AF2BAE"/>
    <w:rsid w:val="00AF5B21"/>
    <w:rsid w:val="00AF5D82"/>
    <w:rsid w:val="00AF6106"/>
    <w:rsid w:val="00AF64C0"/>
    <w:rsid w:val="00B00FAC"/>
    <w:rsid w:val="00B01F14"/>
    <w:rsid w:val="00B02778"/>
    <w:rsid w:val="00B03F20"/>
    <w:rsid w:val="00B0479A"/>
    <w:rsid w:val="00B06070"/>
    <w:rsid w:val="00B06EA2"/>
    <w:rsid w:val="00B0767E"/>
    <w:rsid w:val="00B07A27"/>
    <w:rsid w:val="00B10AB8"/>
    <w:rsid w:val="00B12179"/>
    <w:rsid w:val="00B1453E"/>
    <w:rsid w:val="00B148B2"/>
    <w:rsid w:val="00B15A45"/>
    <w:rsid w:val="00B16558"/>
    <w:rsid w:val="00B167AB"/>
    <w:rsid w:val="00B17746"/>
    <w:rsid w:val="00B17E0F"/>
    <w:rsid w:val="00B203E3"/>
    <w:rsid w:val="00B229B2"/>
    <w:rsid w:val="00B24096"/>
    <w:rsid w:val="00B243E7"/>
    <w:rsid w:val="00B24C96"/>
    <w:rsid w:val="00B2625B"/>
    <w:rsid w:val="00B26D0E"/>
    <w:rsid w:val="00B304C3"/>
    <w:rsid w:val="00B305F1"/>
    <w:rsid w:val="00B3142E"/>
    <w:rsid w:val="00B32177"/>
    <w:rsid w:val="00B3372C"/>
    <w:rsid w:val="00B33A58"/>
    <w:rsid w:val="00B341EA"/>
    <w:rsid w:val="00B3574F"/>
    <w:rsid w:val="00B3622C"/>
    <w:rsid w:val="00B36874"/>
    <w:rsid w:val="00B36DA7"/>
    <w:rsid w:val="00B36E53"/>
    <w:rsid w:val="00B402AD"/>
    <w:rsid w:val="00B40869"/>
    <w:rsid w:val="00B40BDF"/>
    <w:rsid w:val="00B41258"/>
    <w:rsid w:val="00B42E06"/>
    <w:rsid w:val="00B432C8"/>
    <w:rsid w:val="00B436B9"/>
    <w:rsid w:val="00B438B1"/>
    <w:rsid w:val="00B44EBD"/>
    <w:rsid w:val="00B451CA"/>
    <w:rsid w:val="00B456F9"/>
    <w:rsid w:val="00B45E40"/>
    <w:rsid w:val="00B46B1D"/>
    <w:rsid w:val="00B4734F"/>
    <w:rsid w:val="00B47D29"/>
    <w:rsid w:val="00B5103E"/>
    <w:rsid w:val="00B51230"/>
    <w:rsid w:val="00B51B94"/>
    <w:rsid w:val="00B51F7D"/>
    <w:rsid w:val="00B521D3"/>
    <w:rsid w:val="00B527A8"/>
    <w:rsid w:val="00B52BAD"/>
    <w:rsid w:val="00B52C68"/>
    <w:rsid w:val="00B53154"/>
    <w:rsid w:val="00B54A85"/>
    <w:rsid w:val="00B54F0A"/>
    <w:rsid w:val="00B558C0"/>
    <w:rsid w:val="00B55B38"/>
    <w:rsid w:val="00B55C87"/>
    <w:rsid w:val="00B56EB4"/>
    <w:rsid w:val="00B617EA"/>
    <w:rsid w:val="00B633AF"/>
    <w:rsid w:val="00B639C5"/>
    <w:rsid w:val="00B63BF8"/>
    <w:rsid w:val="00B6452D"/>
    <w:rsid w:val="00B668CA"/>
    <w:rsid w:val="00B66BBB"/>
    <w:rsid w:val="00B67504"/>
    <w:rsid w:val="00B702EC"/>
    <w:rsid w:val="00B7089E"/>
    <w:rsid w:val="00B7192C"/>
    <w:rsid w:val="00B72A87"/>
    <w:rsid w:val="00B72D26"/>
    <w:rsid w:val="00B73BD5"/>
    <w:rsid w:val="00B74620"/>
    <w:rsid w:val="00B74AF2"/>
    <w:rsid w:val="00B74B1C"/>
    <w:rsid w:val="00B74FDE"/>
    <w:rsid w:val="00B75C77"/>
    <w:rsid w:val="00B7647C"/>
    <w:rsid w:val="00B770B7"/>
    <w:rsid w:val="00B771D5"/>
    <w:rsid w:val="00B77808"/>
    <w:rsid w:val="00B803A5"/>
    <w:rsid w:val="00B80505"/>
    <w:rsid w:val="00B8206A"/>
    <w:rsid w:val="00B8279D"/>
    <w:rsid w:val="00B828C1"/>
    <w:rsid w:val="00B8337F"/>
    <w:rsid w:val="00B8399E"/>
    <w:rsid w:val="00B84EFC"/>
    <w:rsid w:val="00B869BB"/>
    <w:rsid w:val="00B86ED8"/>
    <w:rsid w:val="00B90424"/>
    <w:rsid w:val="00B91159"/>
    <w:rsid w:val="00B92876"/>
    <w:rsid w:val="00B9365F"/>
    <w:rsid w:val="00B93884"/>
    <w:rsid w:val="00B93AA0"/>
    <w:rsid w:val="00B93D4B"/>
    <w:rsid w:val="00B941EA"/>
    <w:rsid w:val="00B94209"/>
    <w:rsid w:val="00B96F77"/>
    <w:rsid w:val="00BA111B"/>
    <w:rsid w:val="00BA1618"/>
    <w:rsid w:val="00BA27E1"/>
    <w:rsid w:val="00BA333C"/>
    <w:rsid w:val="00BA3C11"/>
    <w:rsid w:val="00BA4E46"/>
    <w:rsid w:val="00BA5B2A"/>
    <w:rsid w:val="00BA6D48"/>
    <w:rsid w:val="00BA6E12"/>
    <w:rsid w:val="00BA7443"/>
    <w:rsid w:val="00BA7FDB"/>
    <w:rsid w:val="00BB0BCF"/>
    <w:rsid w:val="00BB1482"/>
    <w:rsid w:val="00BB1AE9"/>
    <w:rsid w:val="00BB2748"/>
    <w:rsid w:val="00BB5552"/>
    <w:rsid w:val="00BB5F81"/>
    <w:rsid w:val="00BB6240"/>
    <w:rsid w:val="00BB6EA3"/>
    <w:rsid w:val="00BC2133"/>
    <w:rsid w:val="00BC23A8"/>
    <w:rsid w:val="00BC2732"/>
    <w:rsid w:val="00BC30AE"/>
    <w:rsid w:val="00BC30D5"/>
    <w:rsid w:val="00BC385B"/>
    <w:rsid w:val="00BC3986"/>
    <w:rsid w:val="00BD181A"/>
    <w:rsid w:val="00BD23A2"/>
    <w:rsid w:val="00BD2D32"/>
    <w:rsid w:val="00BD2D9F"/>
    <w:rsid w:val="00BD53FF"/>
    <w:rsid w:val="00BD552D"/>
    <w:rsid w:val="00BD5C18"/>
    <w:rsid w:val="00BD60D6"/>
    <w:rsid w:val="00BD6DB8"/>
    <w:rsid w:val="00BD6E41"/>
    <w:rsid w:val="00BD76BC"/>
    <w:rsid w:val="00BD7B63"/>
    <w:rsid w:val="00BD7D72"/>
    <w:rsid w:val="00BE1A1B"/>
    <w:rsid w:val="00BE1E92"/>
    <w:rsid w:val="00BE2F20"/>
    <w:rsid w:val="00BE466B"/>
    <w:rsid w:val="00BE4F3A"/>
    <w:rsid w:val="00BE6C48"/>
    <w:rsid w:val="00BE7DE3"/>
    <w:rsid w:val="00BF0012"/>
    <w:rsid w:val="00BF1993"/>
    <w:rsid w:val="00BF1C1B"/>
    <w:rsid w:val="00BF1D1B"/>
    <w:rsid w:val="00BF2896"/>
    <w:rsid w:val="00BF2D6E"/>
    <w:rsid w:val="00BF36C0"/>
    <w:rsid w:val="00BF3882"/>
    <w:rsid w:val="00BF48B8"/>
    <w:rsid w:val="00BF4B8B"/>
    <w:rsid w:val="00BF4D60"/>
    <w:rsid w:val="00BF52C4"/>
    <w:rsid w:val="00BF6C35"/>
    <w:rsid w:val="00C001C6"/>
    <w:rsid w:val="00C005D6"/>
    <w:rsid w:val="00C00EB3"/>
    <w:rsid w:val="00C01671"/>
    <w:rsid w:val="00C01861"/>
    <w:rsid w:val="00C019A6"/>
    <w:rsid w:val="00C01DA9"/>
    <w:rsid w:val="00C02FBC"/>
    <w:rsid w:val="00C03530"/>
    <w:rsid w:val="00C044C4"/>
    <w:rsid w:val="00C04F48"/>
    <w:rsid w:val="00C05AFD"/>
    <w:rsid w:val="00C05D8A"/>
    <w:rsid w:val="00C069F9"/>
    <w:rsid w:val="00C07D26"/>
    <w:rsid w:val="00C1095E"/>
    <w:rsid w:val="00C1195D"/>
    <w:rsid w:val="00C11CAE"/>
    <w:rsid w:val="00C12355"/>
    <w:rsid w:val="00C12374"/>
    <w:rsid w:val="00C12524"/>
    <w:rsid w:val="00C139B6"/>
    <w:rsid w:val="00C14391"/>
    <w:rsid w:val="00C15A07"/>
    <w:rsid w:val="00C16640"/>
    <w:rsid w:val="00C178D2"/>
    <w:rsid w:val="00C20025"/>
    <w:rsid w:val="00C2036A"/>
    <w:rsid w:val="00C20796"/>
    <w:rsid w:val="00C22B5F"/>
    <w:rsid w:val="00C22BEA"/>
    <w:rsid w:val="00C22E48"/>
    <w:rsid w:val="00C23281"/>
    <w:rsid w:val="00C23DCA"/>
    <w:rsid w:val="00C23E53"/>
    <w:rsid w:val="00C24D92"/>
    <w:rsid w:val="00C262F0"/>
    <w:rsid w:val="00C27563"/>
    <w:rsid w:val="00C27589"/>
    <w:rsid w:val="00C30314"/>
    <w:rsid w:val="00C32757"/>
    <w:rsid w:val="00C32E5C"/>
    <w:rsid w:val="00C32F69"/>
    <w:rsid w:val="00C334D3"/>
    <w:rsid w:val="00C33CBA"/>
    <w:rsid w:val="00C34B0F"/>
    <w:rsid w:val="00C354B1"/>
    <w:rsid w:val="00C356C6"/>
    <w:rsid w:val="00C364EC"/>
    <w:rsid w:val="00C36FC0"/>
    <w:rsid w:val="00C37A94"/>
    <w:rsid w:val="00C40096"/>
    <w:rsid w:val="00C40532"/>
    <w:rsid w:val="00C4065C"/>
    <w:rsid w:val="00C40866"/>
    <w:rsid w:val="00C4363F"/>
    <w:rsid w:val="00C43CDC"/>
    <w:rsid w:val="00C4510A"/>
    <w:rsid w:val="00C45C7D"/>
    <w:rsid w:val="00C45F0E"/>
    <w:rsid w:val="00C4698A"/>
    <w:rsid w:val="00C46E09"/>
    <w:rsid w:val="00C50627"/>
    <w:rsid w:val="00C50BD6"/>
    <w:rsid w:val="00C511C5"/>
    <w:rsid w:val="00C5202A"/>
    <w:rsid w:val="00C5248F"/>
    <w:rsid w:val="00C52554"/>
    <w:rsid w:val="00C53052"/>
    <w:rsid w:val="00C54CC8"/>
    <w:rsid w:val="00C56121"/>
    <w:rsid w:val="00C563A8"/>
    <w:rsid w:val="00C570C1"/>
    <w:rsid w:val="00C572A2"/>
    <w:rsid w:val="00C61B1D"/>
    <w:rsid w:val="00C636AD"/>
    <w:rsid w:val="00C63EF3"/>
    <w:rsid w:val="00C64000"/>
    <w:rsid w:val="00C65756"/>
    <w:rsid w:val="00C66FD7"/>
    <w:rsid w:val="00C7232E"/>
    <w:rsid w:val="00C72A72"/>
    <w:rsid w:val="00C72DC7"/>
    <w:rsid w:val="00C72F1B"/>
    <w:rsid w:val="00C733F4"/>
    <w:rsid w:val="00C733F9"/>
    <w:rsid w:val="00C73746"/>
    <w:rsid w:val="00C74A1E"/>
    <w:rsid w:val="00C74C81"/>
    <w:rsid w:val="00C75012"/>
    <w:rsid w:val="00C75D22"/>
    <w:rsid w:val="00C75D5D"/>
    <w:rsid w:val="00C778AB"/>
    <w:rsid w:val="00C80E7A"/>
    <w:rsid w:val="00C81A12"/>
    <w:rsid w:val="00C82F63"/>
    <w:rsid w:val="00C83443"/>
    <w:rsid w:val="00C8480D"/>
    <w:rsid w:val="00C85773"/>
    <w:rsid w:val="00C8774A"/>
    <w:rsid w:val="00C87B64"/>
    <w:rsid w:val="00C902FF"/>
    <w:rsid w:val="00C90A43"/>
    <w:rsid w:val="00C91AF9"/>
    <w:rsid w:val="00C923E1"/>
    <w:rsid w:val="00C9266F"/>
    <w:rsid w:val="00C92B37"/>
    <w:rsid w:val="00C93236"/>
    <w:rsid w:val="00C93A11"/>
    <w:rsid w:val="00C94691"/>
    <w:rsid w:val="00C94742"/>
    <w:rsid w:val="00C94890"/>
    <w:rsid w:val="00C95C8A"/>
    <w:rsid w:val="00C96381"/>
    <w:rsid w:val="00C9750D"/>
    <w:rsid w:val="00C97739"/>
    <w:rsid w:val="00CA225D"/>
    <w:rsid w:val="00CA2F19"/>
    <w:rsid w:val="00CA2F59"/>
    <w:rsid w:val="00CA388D"/>
    <w:rsid w:val="00CA4A07"/>
    <w:rsid w:val="00CA4A12"/>
    <w:rsid w:val="00CA5A1E"/>
    <w:rsid w:val="00CA6251"/>
    <w:rsid w:val="00CA68B6"/>
    <w:rsid w:val="00CA709A"/>
    <w:rsid w:val="00CA7105"/>
    <w:rsid w:val="00CB2882"/>
    <w:rsid w:val="00CB4E54"/>
    <w:rsid w:val="00CB638F"/>
    <w:rsid w:val="00CB7CBE"/>
    <w:rsid w:val="00CC11E5"/>
    <w:rsid w:val="00CC1748"/>
    <w:rsid w:val="00CC33F8"/>
    <w:rsid w:val="00CC4AA5"/>
    <w:rsid w:val="00CC561D"/>
    <w:rsid w:val="00CC59CE"/>
    <w:rsid w:val="00CC5A8C"/>
    <w:rsid w:val="00CC5B5B"/>
    <w:rsid w:val="00CC62E8"/>
    <w:rsid w:val="00CC65C0"/>
    <w:rsid w:val="00CC7927"/>
    <w:rsid w:val="00CD0F01"/>
    <w:rsid w:val="00CD12E8"/>
    <w:rsid w:val="00CD15A0"/>
    <w:rsid w:val="00CD2175"/>
    <w:rsid w:val="00CD3E31"/>
    <w:rsid w:val="00CD50BE"/>
    <w:rsid w:val="00CD56B2"/>
    <w:rsid w:val="00CD7FC4"/>
    <w:rsid w:val="00CE0DDF"/>
    <w:rsid w:val="00CE463C"/>
    <w:rsid w:val="00CE6432"/>
    <w:rsid w:val="00CE7BAB"/>
    <w:rsid w:val="00CE7C1F"/>
    <w:rsid w:val="00CF042A"/>
    <w:rsid w:val="00CF1834"/>
    <w:rsid w:val="00CF23AF"/>
    <w:rsid w:val="00CF296F"/>
    <w:rsid w:val="00CF29D4"/>
    <w:rsid w:val="00CF3E3A"/>
    <w:rsid w:val="00CF437B"/>
    <w:rsid w:val="00CF4589"/>
    <w:rsid w:val="00CF54AD"/>
    <w:rsid w:val="00CF674F"/>
    <w:rsid w:val="00D00B9D"/>
    <w:rsid w:val="00D030D2"/>
    <w:rsid w:val="00D032E2"/>
    <w:rsid w:val="00D040E5"/>
    <w:rsid w:val="00D0414D"/>
    <w:rsid w:val="00D04783"/>
    <w:rsid w:val="00D04F18"/>
    <w:rsid w:val="00D07E9D"/>
    <w:rsid w:val="00D10B49"/>
    <w:rsid w:val="00D117CE"/>
    <w:rsid w:val="00D11B97"/>
    <w:rsid w:val="00D12113"/>
    <w:rsid w:val="00D12B98"/>
    <w:rsid w:val="00D13B35"/>
    <w:rsid w:val="00D145ED"/>
    <w:rsid w:val="00D151B1"/>
    <w:rsid w:val="00D151C8"/>
    <w:rsid w:val="00D1691F"/>
    <w:rsid w:val="00D16A6B"/>
    <w:rsid w:val="00D21608"/>
    <w:rsid w:val="00D222FF"/>
    <w:rsid w:val="00D228FE"/>
    <w:rsid w:val="00D2309C"/>
    <w:rsid w:val="00D23717"/>
    <w:rsid w:val="00D24A66"/>
    <w:rsid w:val="00D25A49"/>
    <w:rsid w:val="00D25BB1"/>
    <w:rsid w:val="00D27028"/>
    <w:rsid w:val="00D27A45"/>
    <w:rsid w:val="00D27C60"/>
    <w:rsid w:val="00D3030A"/>
    <w:rsid w:val="00D31593"/>
    <w:rsid w:val="00D32149"/>
    <w:rsid w:val="00D33972"/>
    <w:rsid w:val="00D33C25"/>
    <w:rsid w:val="00D341D6"/>
    <w:rsid w:val="00D35783"/>
    <w:rsid w:val="00D362FC"/>
    <w:rsid w:val="00D37903"/>
    <w:rsid w:val="00D40053"/>
    <w:rsid w:val="00D40206"/>
    <w:rsid w:val="00D40982"/>
    <w:rsid w:val="00D40E45"/>
    <w:rsid w:val="00D41640"/>
    <w:rsid w:val="00D42000"/>
    <w:rsid w:val="00D4264D"/>
    <w:rsid w:val="00D42D11"/>
    <w:rsid w:val="00D44DC4"/>
    <w:rsid w:val="00D45A00"/>
    <w:rsid w:val="00D4637E"/>
    <w:rsid w:val="00D50577"/>
    <w:rsid w:val="00D519E5"/>
    <w:rsid w:val="00D52742"/>
    <w:rsid w:val="00D53184"/>
    <w:rsid w:val="00D53DFC"/>
    <w:rsid w:val="00D54A7E"/>
    <w:rsid w:val="00D54C8B"/>
    <w:rsid w:val="00D5510C"/>
    <w:rsid w:val="00D5526B"/>
    <w:rsid w:val="00D553B9"/>
    <w:rsid w:val="00D56681"/>
    <w:rsid w:val="00D574AD"/>
    <w:rsid w:val="00D57980"/>
    <w:rsid w:val="00D602A6"/>
    <w:rsid w:val="00D60B5A"/>
    <w:rsid w:val="00D64A69"/>
    <w:rsid w:val="00D65362"/>
    <w:rsid w:val="00D656C3"/>
    <w:rsid w:val="00D66568"/>
    <w:rsid w:val="00D66962"/>
    <w:rsid w:val="00D66E02"/>
    <w:rsid w:val="00D66F06"/>
    <w:rsid w:val="00D70042"/>
    <w:rsid w:val="00D712ED"/>
    <w:rsid w:val="00D71813"/>
    <w:rsid w:val="00D71824"/>
    <w:rsid w:val="00D71ECA"/>
    <w:rsid w:val="00D73059"/>
    <w:rsid w:val="00D744B5"/>
    <w:rsid w:val="00D74A0A"/>
    <w:rsid w:val="00D75DAA"/>
    <w:rsid w:val="00D760EA"/>
    <w:rsid w:val="00D76310"/>
    <w:rsid w:val="00D77AEE"/>
    <w:rsid w:val="00D77D09"/>
    <w:rsid w:val="00D80659"/>
    <w:rsid w:val="00D815D9"/>
    <w:rsid w:val="00D81C76"/>
    <w:rsid w:val="00D83CCB"/>
    <w:rsid w:val="00D84BF1"/>
    <w:rsid w:val="00D8536A"/>
    <w:rsid w:val="00D8630C"/>
    <w:rsid w:val="00D86AA8"/>
    <w:rsid w:val="00D873E2"/>
    <w:rsid w:val="00D8748A"/>
    <w:rsid w:val="00D87D9C"/>
    <w:rsid w:val="00D87E8B"/>
    <w:rsid w:val="00D9025D"/>
    <w:rsid w:val="00D90557"/>
    <w:rsid w:val="00D90C09"/>
    <w:rsid w:val="00D90D77"/>
    <w:rsid w:val="00D9237B"/>
    <w:rsid w:val="00D92B3B"/>
    <w:rsid w:val="00D930BA"/>
    <w:rsid w:val="00D9499E"/>
    <w:rsid w:val="00D958C5"/>
    <w:rsid w:val="00D96062"/>
    <w:rsid w:val="00D9747A"/>
    <w:rsid w:val="00D975A9"/>
    <w:rsid w:val="00D97ACB"/>
    <w:rsid w:val="00DA006E"/>
    <w:rsid w:val="00DA0466"/>
    <w:rsid w:val="00DA060C"/>
    <w:rsid w:val="00DA116F"/>
    <w:rsid w:val="00DA11C1"/>
    <w:rsid w:val="00DA180F"/>
    <w:rsid w:val="00DA22AA"/>
    <w:rsid w:val="00DA266A"/>
    <w:rsid w:val="00DA2859"/>
    <w:rsid w:val="00DA2E30"/>
    <w:rsid w:val="00DA2E48"/>
    <w:rsid w:val="00DA4E8B"/>
    <w:rsid w:val="00DA5062"/>
    <w:rsid w:val="00DA6E43"/>
    <w:rsid w:val="00DA7DED"/>
    <w:rsid w:val="00DB0212"/>
    <w:rsid w:val="00DB1273"/>
    <w:rsid w:val="00DB23BC"/>
    <w:rsid w:val="00DB2659"/>
    <w:rsid w:val="00DB2D4B"/>
    <w:rsid w:val="00DB339D"/>
    <w:rsid w:val="00DB381D"/>
    <w:rsid w:val="00DB43FA"/>
    <w:rsid w:val="00DB4476"/>
    <w:rsid w:val="00DB4986"/>
    <w:rsid w:val="00DB7A02"/>
    <w:rsid w:val="00DB7C3E"/>
    <w:rsid w:val="00DC018E"/>
    <w:rsid w:val="00DC026A"/>
    <w:rsid w:val="00DC0820"/>
    <w:rsid w:val="00DC1A7D"/>
    <w:rsid w:val="00DC1D5D"/>
    <w:rsid w:val="00DC1EEC"/>
    <w:rsid w:val="00DC1F6D"/>
    <w:rsid w:val="00DC251D"/>
    <w:rsid w:val="00DC2D48"/>
    <w:rsid w:val="00DC4110"/>
    <w:rsid w:val="00DC4E80"/>
    <w:rsid w:val="00DC6AE0"/>
    <w:rsid w:val="00DC6FF0"/>
    <w:rsid w:val="00DC7F1A"/>
    <w:rsid w:val="00DD059F"/>
    <w:rsid w:val="00DD07A6"/>
    <w:rsid w:val="00DD1CFD"/>
    <w:rsid w:val="00DD3781"/>
    <w:rsid w:val="00DD380F"/>
    <w:rsid w:val="00DD4E18"/>
    <w:rsid w:val="00DD69C1"/>
    <w:rsid w:val="00DD6AAE"/>
    <w:rsid w:val="00DD6AB6"/>
    <w:rsid w:val="00DD7CAE"/>
    <w:rsid w:val="00DE04B4"/>
    <w:rsid w:val="00DE1B4F"/>
    <w:rsid w:val="00DE2585"/>
    <w:rsid w:val="00DE2B4D"/>
    <w:rsid w:val="00DE362E"/>
    <w:rsid w:val="00DE3B64"/>
    <w:rsid w:val="00DE4DF2"/>
    <w:rsid w:val="00DE5B8A"/>
    <w:rsid w:val="00DE6AC7"/>
    <w:rsid w:val="00DE6D9B"/>
    <w:rsid w:val="00DF05B9"/>
    <w:rsid w:val="00DF1616"/>
    <w:rsid w:val="00DF2B7C"/>
    <w:rsid w:val="00DF2F58"/>
    <w:rsid w:val="00DF3376"/>
    <w:rsid w:val="00DF3887"/>
    <w:rsid w:val="00DF40C2"/>
    <w:rsid w:val="00DF4A30"/>
    <w:rsid w:val="00DF4B5B"/>
    <w:rsid w:val="00DF4C54"/>
    <w:rsid w:val="00DF5D73"/>
    <w:rsid w:val="00DF6CED"/>
    <w:rsid w:val="00E00093"/>
    <w:rsid w:val="00E0050C"/>
    <w:rsid w:val="00E00F5D"/>
    <w:rsid w:val="00E01E17"/>
    <w:rsid w:val="00E023A2"/>
    <w:rsid w:val="00E02568"/>
    <w:rsid w:val="00E04923"/>
    <w:rsid w:val="00E068D6"/>
    <w:rsid w:val="00E06D94"/>
    <w:rsid w:val="00E108EE"/>
    <w:rsid w:val="00E113DA"/>
    <w:rsid w:val="00E12051"/>
    <w:rsid w:val="00E14121"/>
    <w:rsid w:val="00E14D8A"/>
    <w:rsid w:val="00E152A1"/>
    <w:rsid w:val="00E16F43"/>
    <w:rsid w:val="00E17CB4"/>
    <w:rsid w:val="00E17E04"/>
    <w:rsid w:val="00E20485"/>
    <w:rsid w:val="00E217F0"/>
    <w:rsid w:val="00E230CA"/>
    <w:rsid w:val="00E23C57"/>
    <w:rsid w:val="00E23FAF"/>
    <w:rsid w:val="00E2450C"/>
    <w:rsid w:val="00E24917"/>
    <w:rsid w:val="00E25263"/>
    <w:rsid w:val="00E27A1B"/>
    <w:rsid w:val="00E316CB"/>
    <w:rsid w:val="00E3347D"/>
    <w:rsid w:val="00E336DA"/>
    <w:rsid w:val="00E33F8A"/>
    <w:rsid w:val="00E340B5"/>
    <w:rsid w:val="00E352CC"/>
    <w:rsid w:val="00E35467"/>
    <w:rsid w:val="00E354F5"/>
    <w:rsid w:val="00E3566B"/>
    <w:rsid w:val="00E37373"/>
    <w:rsid w:val="00E377A1"/>
    <w:rsid w:val="00E4001E"/>
    <w:rsid w:val="00E404EF"/>
    <w:rsid w:val="00E40653"/>
    <w:rsid w:val="00E41A4D"/>
    <w:rsid w:val="00E43295"/>
    <w:rsid w:val="00E434F4"/>
    <w:rsid w:val="00E43C5A"/>
    <w:rsid w:val="00E44C7E"/>
    <w:rsid w:val="00E45088"/>
    <w:rsid w:val="00E4518C"/>
    <w:rsid w:val="00E45CF5"/>
    <w:rsid w:val="00E50354"/>
    <w:rsid w:val="00E50F08"/>
    <w:rsid w:val="00E51115"/>
    <w:rsid w:val="00E5365F"/>
    <w:rsid w:val="00E53ACA"/>
    <w:rsid w:val="00E548CD"/>
    <w:rsid w:val="00E54E9C"/>
    <w:rsid w:val="00E57192"/>
    <w:rsid w:val="00E57E3E"/>
    <w:rsid w:val="00E6020F"/>
    <w:rsid w:val="00E60697"/>
    <w:rsid w:val="00E60CC3"/>
    <w:rsid w:val="00E60D7D"/>
    <w:rsid w:val="00E61C96"/>
    <w:rsid w:val="00E62240"/>
    <w:rsid w:val="00E62379"/>
    <w:rsid w:val="00E63033"/>
    <w:rsid w:val="00E6470C"/>
    <w:rsid w:val="00E65A9B"/>
    <w:rsid w:val="00E65F70"/>
    <w:rsid w:val="00E66AD8"/>
    <w:rsid w:val="00E66B24"/>
    <w:rsid w:val="00E66EEC"/>
    <w:rsid w:val="00E6790E"/>
    <w:rsid w:val="00E715B1"/>
    <w:rsid w:val="00E72D70"/>
    <w:rsid w:val="00E730BF"/>
    <w:rsid w:val="00E76371"/>
    <w:rsid w:val="00E773D9"/>
    <w:rsid w:val="00E80A5B"/>
    <w:rsid w:val="00E81049"/>
    <w:rsid w:val="00E81B78"/>
    <w:rsid w:val="00E81E6E"/>
    <w:rsid w:val="00E82AE5"/>
    <w:rsid w:val="00E82B4D"/>
    <w:rsid w:val="00E832A9"/>
    <w:rsid w:val="00E83D0B"/>
    <w:rsid w:val="00E8455D"/>
    <w:rsid w:val="00E8465F"/>
    <w:rsid w:val="00E8473B"/>
    <w:rsid w:val="00E87C47"/>
    <w:rsid w:val="00E9026E"/>
    <w:rsid w:val="00E91215"/>
    <w:rsid w:val="00E917F4"/>
    <w:rsid w:val="00E91E3A"/>
    <w:rsid w:val="00E934F1"/>
    <w:rsid w:val="00E93E4F"/>
    <w:rsid w:val="00E9409E"/>
    <w:rsid w:val="00E977AE"/>
    <w:rsid w:val="00E97C3B"/>
    <w:rsid w:val="00EA1A50"/>
    <w:rsid w:val="00EA27B9"/>
    <w:rsid w:val="00EA2CBE"/>
    <w:rsid w:val="00EA487C"/>
    <w:rsid w:val="00EA5511"/>
    <w:rsid w:val="00EA5BEA"/>
    <w:rsid w:val="00EA611B"/>
    <w:rsid w:val="00EA625A"/>
    <w:rsid w:val="00EA7E0F"/>
    <w:rsid w:val="00EB0223"/>
    <w:rsid w:val="00EB0948"/>
    <w:rsid w:val="00EB13DD"/>
    <w:rsid w:val="00EB1439"/>
    <w:rsid w:val="00EB1ADA"/>
    <w:rsid w:val="00EB1C79"/>
    <w:rsid w:val="00EB1E2E"/>
    <w:rsid w:val="00EB2FF1"/>
    <w:rsid w:val="00EB3636"/>
    <w:rsid w:val="00EB61A6"/>
    <w:rsid w:val="00EB6274"/>
    <w:rsid w:val="00EB6AED"/>
    <w:rsid w:val="00EB6E81"/>
    <w:rsid w:val="00EB75A9"/>
    <w:rsid w:val="00EB7F50"/>
    <w:rsid w:val="00EC05DF"/>
    <w:rsid w:val="00EC0FEB"/>
    <w:rsid w:val="00EC31EB"/>
    <w:rsid w:val="00EC51C4"/>
    <w:rsid w:val="00EC57B8"/>
    <w:rsid w:val="00EC5B29"/>
    <w:rsid w:val="00EC5E81"/>
    <w:rsid w:val="00EC61B2"/>
    <w:rsid w:val="00EC7227"/>
    <w:rsid w:val="00ED0496"/>
    <w:rsid w:val="00ED0F56"/>
    <w:rsid w:val="00ED125A"/>
    <w:rsid w:val="00ED18C3"/>
    <w:rsid w:val="00ED25A7"/>
    <w:rsid w:val="00ED26CF"/>
    <w:rsid w:val="00ED3801"/>
    <w:rsid w:val="00ED4244"/>
    <w:rsid w:val="00ED5C11"/>
    <w:rsid w:val="00ED5CAD"/>
    <w:rsid w:val="00ED6D31"/>
    <w:rsid w:val="00ED75D0"/>
    <w:rsid w:val="00EE1588"/>
    <w:rsid w:val="00EE1FFE"/>
    <w:rsid w:val="00EE25F0"/>
    <w:rsid w:val="00EE381D"/>
    <w:rsid w:val="00EE4DE1"/>
    <w:rsid w:val="00EE6506"/>
    <w:rsid w:val="00EE699D"/>
    <w:rsid w:val="00EE7F8B"/>
    <w:rsid w:val="00EF14E3"/>
    <w:rsid w:val="00EF1AAA"/>
    <w:rsid w:val="00EF2F33"/>
    <w:rsid w:val="00EF4341"/>
    <w:rsid w:val="00EF49D0"/>
    <w:rsid w:val="00EF4CBA"/>
    <w:rsid w:val="00EF578D"/>
    <w:rsid w:val="00EF5C53"/>
    <w:rsid w:val="00EF669C"/>
    <w:rsid w:val="00F0049A"/>
    <w:rsid w:val="00F004EF"/>
    <w:rsid w:val="00F01203"/>
    <w:rsid w:val="00F01ECB"/>
    <w:rsid w:val="00F053E8"/>
    <w:rsid w:val="00F05582"/>
    <w:rsid w:val="00F05D26"/>
    <w:rsid w:val="00F06C9C"/>
    <w:rsid w:val="00F0769A"/>
    <w:rsid w:val="00F07798"/>
    <w:rsid w:val="00F07D33"/>
    <w:rsid w:val="00F07D37"/>
    <w:rsid w:val="00F11438"/>
    <w:rsid w:val="00F11F77"/>
    <w:rsid w:val="00F121D8"/>
    <w:rsid w:val="00F123A1"/>
    <w:rsid w:val="00F12492"/>
    <w:rsid w:val="00F12955"/>
    <w:rsid w:val="00F14919"/>
    <w:rsid w:val="00F14EB3"/>
    <w:rsid w:val="00F15620"/>
    <w:rsid w:val="00F161E5"/>
    <w:rsid w:val="00F1622D"/>
    <w:rsid w:val="00F1703C"/>
    <w:rsid w:val="00F177C0"/>
    <w:rsid w:val="00F17973"/>
    <w:rsid w:val="00F179A2"/>
    <w:rsid w:val="00F23127"/>
    <w:rsid w:val="00F25375"/>
    <w:rsid w:val="00F26427"/>
    <w:rsid w:val="00F26D06"/>
    <w:rsid w:val="00F274CB"/>
    <w:rsid w:val="00F30443"/>
    <w:rsid w:val="00F31CE0"/>
    <w:rsid w:val="00F31EA2"/>
    <w:rsid w:val="00F328BD"/>
    <w:rsid w:val="00F32CC6"/>
    <w:rsid w:val="00F3361B"/>
    <w:rsid w:val="00F354CB"/>
    <w:rsid w:val="00F36B08"/>
    <w:rsid w:val="00F379DB"/>
    <w:rsid w:val="00F409D4"/>
    <w:rsid w:val="00F41037"/>
    <w:rsid w:val="00F4105E"/>
    <w:rsid w:val="00F42759"/>
    <w:rsid w:val="00F43DBA"/>
    <w:rsid w:val="00F443A2"/>
    <w:rsid w:val="00F444F0"/>
    <w:rsid w:val="00F44548"/>
    <w:rsid w:val="00F44819"/>
    <w:rsid w:val="00F4533E"/>
    <w:rsid w:val="00F45FD0"/>
    <w:rsid w:val="00F46135"/>
    <w:rsid w:val="00F46861"/>
    <w:rsid w:val="00F4776E"/>
    <w:rsid w:val="00F502FF"/>
    <w:rsid w:val="00F50B19"/>
    <w:rsid w:val="00F51249"/>
    <w:rsid w:val="00F515A7"/>
    <w:rsid w:val="00F52033"/>
    <w:rsid w:val="00F52E4F"/>
    <w:rsid w:val="00F5336F"/>
    <w:rsid w:val="00F535B3"/>
    <w:rsid w:val="00F53F7F"/>
    <w:rsid w:val="00F55760"/>
    <w:rsid w:val="00F558DB"/>
    <w:rsid w:val="00F56063"/>
    <w:rsid w:val="00F573D8"/>
    <w:rsid w:val="00F57840"/>
    <w:rsid w:val="00F616DA"/>
    <w:rsid w:val="00F61E9D"/>
    <w:rsid w:val="00F630BD"/>
    <w:rsid w:val="00F63788"/>
    <w:rsid w:val="00F63814"/>
    <w:rsid w:val="00F646E1"/>
    <w:rsid w:val="00F64C7C"/>
    <w:rsid w:val="00F64E9F"/>
    <w:rsid w:val="00F64FDB"/>
    <w:rsid w:val="00F66A5B"/>
    <w:rsid w:val="00F67D07"/>
    <w:rsid w:val="00F700BB"/>
    <w:rsid w:val="00F70349"/>
    <w:rsid w:val="00F7058C"/>
    <w:rsid w:val="00F7083E"/>
    <w:rsid w:val="00F71B8C"/>
    <w:rsid w:val="00F72F6C"/>
    <w:rsid w:val="00F736CC"/>
    <w:rsid w:val="00F7371A"/>
    <w:rsid w:val="00F73A63"/>
    <w:rsid w:val="00F73C87"/>
    <w:rsid w:val="00F73E42"/>
    <w:rsid w:val="00F742E7"/>
    <w:rsid w:val="00F74800"/>
    <w:rsid w:val="00F75210"/>
    <w:rsid w:val="00F7551B"/>
    <w:rsid w:val="00F755FA"/>
    <w:rsid w:val="00F75894"/>
    <w:rsid w:val="00F75D5C"/>
    <w:rsid w:val="00F7618E"/>
    <w:rsid w:val="00F76F95"/>
    <w:rsid w:val="00F77ADC"/>
    <w:rsid w:val="00F80D61"/>
    <w:rsid w:val="00F81259"/>
    <w:rsid w:val="00F82646"/>
    <w:rsid w:val="00F83211"/>
    <w:rsid w:val="00F85246"/>
    <w:rsid w:val="00F853F3"/>
    <w:rsid w:val="00F85459"/>
    <w:rsid w:val="00F90FCD"/>
    <w:rsid w:val="00F915D0"/>
    <w:rsid w:val="00F91DEF"/>
    <w:rsid w:val="00F91EE3"/>
    <w:rsid w:val="00F9307B"/>
    <w:rsid w:val="00F93860"/>
    <w:rsid w:val="00F94124"/>
    <w:rsid w:val="00F94C2A"/>
    <w:rsid w:val="00F95754"/>
    <w:rsid w:val="00F9581A"/>
    <w:rsid w:val="00F971F7"/>
    <w:rsid w:val="00F9724C"/>
    <w:rsid w:val="00FA0612"/>
    <w:rsid w:val="00FA0B53"/>
    <w:rsid w:val="00FA11A8"/>
    <w:rsid w:val="00FA188C"/>
    <w:rsid w:val="00FA1C04"/>
    <w:rsid w:val="00FA1DA7"/>
    <w:rsid w:val="00FA217D"/>
    <w:rsid w:val="00FA2345"/>
    <w:rsid w:val="00FA3747"/>
    <w:rsid w:val="00FA5E54"/>
    <w:rsid w:val="00FA6A07"/>
    <w:rsid w:val="00FA6C7D"/>
    <w:rsid w:val="00FA7931"/>
    <w:rsid w:val="00FB0393"/>
    <w:rsid w:val="00FB0E9A"/>
    <w:rsid w:val="00FB1FC8"/>
    <w:rsid w:val="00FB232D"/>
    <w:rsid w:val="00FB2E96"/>
    <w:rsid w:val="00FB473A"/>
    <w:rsid w:val="00FB4E2A"/>
    <w:rsid w:val="00FB5F85"/>
    <w:rsid w:val="00FB6613"/>
    <w:rsid w:val="00FB79D8"/>
    <w:rsid w:val="00FB7D91"/>
    <w:rsid w:val="00FB7F86"/>
    <w:rsid w:val="00FC1174"/>
    <w:rsid w:val="00FC3592"/>
    <w:rsid w:val="00FC45B0"/>
    <w:rsid w:val="00FC47CC"/>
    <w:rsid w:val="00FC4A8E"/>
    <w:rsid w:val="00FC5416"/>
    <w:rsid w:val="00FC66C8"/>
    <w:rsid w:val="00FC671F"/>
    <w:rsid w:val="00FC6CDF"/>
    <w:rsid w:val="00FC7564"/>
    <w:rsid w:val="00FC7C45"/>
    <w:rsid w:val="00FD0269"/>
    <w:rsid w:val="00FD0FE6"/>
    <w:rsid w:val="00FD1503"/>
    <w:rsid w:val="00FD4B8D"/>
    <w:rsid w:val="00FD64C1"/>
    <w:rsid w:val="00FD72D2"/>
    <w:rsid w:val="00FE0EA9"/>
    <w:rsid w:val="00FE1010"/>
    <w:rsid w:val="00FE2EBF"/>
    <w:rsid w:val="00FE4538"/>
    <w:rsid w:val="00FE4D3B"/>
    <w:rsid w:val="00FE5062"/>
    <w:rsid w:val="00FE51D9"/>
    <w:rsid w:val="00FE52EF"/>
    <w:rsid w:val="00FE56BF"/>
    <w:rsid w:val="00FE5D4B"/>
    <w:rsid w:val="00FE66CB"/>
    <w:rsid w:val="00FE7396"/>
    <w:rsid w:val="00FE78C6"/>
    <w:rsid w:val="00FE7B78"/>
    <w:rsid w:val="00FF0BB9"/>
    <w:rsid w:val="00FF1BC4"/>
    <w:rsid w:val="00FF1E56"/>
    <w:rsid w:val="00FF2B27"/>
    <w:rsid w:val="00FF49AC"/>
    <w:rsid w:val="00FF55E9"/>
    <w:rsid w:val="00FF5A9A"/>
    <w:rsid w:val="00FF5E0F"/>
    <w:rsid w:val="00FF6B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9C37D3"/>
    <w:pPr>
      <w:keepNext/>
      <w:spacing w:before="240" w:after="240"/>
      <w:ind w:left="851" w:hanging="851"/>
      <w:outlineLvl w:val="1"/>
    </w:pPr>
    <w:rPr>
      <w:rFonts w:eastAsiaTheme="majorEastAsia" w:cs="Arial"/>
      <w:b/>
      <w:bCs/>
      <w:sz w:val="28"/>
      <w:szCs w:val="28"/>
    </w:rPr>
  </w:style>
  <w:style w:type="paragraph" w:styleId="Heading3">
    <w:name w:val="heading 3"/>
    <w:aliases w:val="FSHeading 3,Subheading 1"/>
    <w:basedOn w:val="Normal"/>
    <w:next w:val="Normal"/>
    <w:link w:val="Heading3Char"/>
    <w:autoRedefine/>
    <w:uiPriority w:val="2"/>
    <w:unhideWhenUsed/>
    <w:qFormat/>
    <w:rsid w:val="009C37D3"/>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9C37D3"/>
    <w:rPr>
      <w:rFonts w:eastAsiaTheme="majorEastAsia"/>
      <w:b/>
      <w:bCs/>
      <w:sz w:val="28"/>
      <w:szCs w:val="28"/>
      <w:lang w:val="en-GB"/>
    </w:rPr>
  </w:style>
  <w:style w:type="character" w:customStyle="1" w:styleId="Heading3Char">
    <w:name w:val="Heading 3 Char"/>
    <w:aliases w:val="FSHeading 3 Char,Subheading 1 Char"/>
    <w:basedOn w:val="DefaultParagraphFont"/>
    <w:link w:val="Heading3"/>
    <w:uiPriority w:val="2"/>
    <w:rsid w:val="009C37D3"/>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link w:val="Table2Char"/>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rPr>
  </w:style>
  <w:style w:type="paragraph" w:customStyle="1" w:styleId="Clauseheading">
    <w:name w:val="Clause heading"/>
    <w:basedOn w:val="Normal"/>
    <w:next w:val="Normal"/>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numPr>
        <w:numId w:val="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nhideWhenUsed/>
    <w:qFormat/>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link w:val="ParagraphChar"/>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qFormat/>
    <w:rsid w:val="00C019A6"/>
    <w:pPr>
      <w:ind w:left="567" w:hanging="567"/>
    </w:pPr>
  </w:style>
  <w:style w:type="paragraph" w:customStyle="1" w:styleId="Subparagraph">
    <w:name w:val="Subparagraph"/>
    <w:basedOn w:val="Paragraph"/>
    <w:next w:val="Normal"/>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table" w:styleId="TableGrid">
    <w:name w:val="Table Grid"/>
    <w:basedOn w:val="TableNormal"/>
    <w:uiPriority w:val="59"/>
    <w:rsid w:val="00EA5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Char">
    <w:name w:val="Paragraph Char"/>
    <w:basedOn w:val="ClauseChar"/>
    <w:link w:val="Paragraph"/>
    <w:rsid w:val="00FB2E96"/>
    <w:rPr>
      <w:rFonts w:eastAsia="Times New Roman" w:cs="Times New Roman"/>
      <w:sz w:val="20"/>
      <w:szCs w:val="20"/>
      <w:lang w:val="en-GB"/>
    </w:rPr>
  </w:style>
  <w:style w:type="character" w:customStyle="1" w:styleId="Table2Char">
    <w:name w:val="Table 2 Char"/>
    <w:link w:val="Table2"/>
    <w:rsid w:val="00041997"/>
    <w:rPr>
      <w:rFonts w:eastAsia="Times New Roman" w:cs="Times New Roman"/>
      <w:bCs/>
      <w:sz w:val="18"/>
      <w:szCs w:val="20"/>
      <w:lang w:val="en-GB"/>
    </w:rPr>
  </w:style>
  <w:style w:type="character" w:styleId="CommentReference">
    <w:name w:val="annotation reference"/>
    <w:basedOn w:val="DefaultParagraphFont"/>
    <w:unhideWhenUsed/>
    <w:rsid w:val="00D31593"/>
    <w:rPr>
      <w:sz w:val="16"/>
      <w:szCs w:val="16"/>
    </w:rPr>
  </w:style>
  <w:style w:type="paragraph" w:styleId="CommentText">
    <w:name w:val="annotation text"/>
    <w:basedOn w:val="Normal"/>
    <w:link w:val="CommentTextChar"/>
    <w:unhideWhenUsed/>
    <w:rsid w:val="00D31593"/>
    <w:rPr>
      <w:sz w:val="20"/>
      <w:szCs w:val="20"/>
    </w:rPr>
  </w:style>
  <w:style w:type="character" w:customStyle="1" w:styleId="CommentTextChar">
    <w:name w:val="Comment Text Char"/>
    <w:basedOn w:val="DefaultParagraphFont"/>
    <w:link w:val="CommentText"/>
    <w:rsid w:val="00D31593"/>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D31593"/>
    <w:rPr>
      <w:b/>
      <w:bCs/>
    </w:rPr>
  </w:style>
  <w:style w:type="character" w:customStyle="1" w:styleId="CommentSubjectChar">
    <w:name w:val="Comment Subject Char"/>
    <w:basedOn w:val="CommentTextChar"/>
    <w:link w:val="CommentSubject"/>
    <w:uiPriority w:val="99"/>
    <w:semiHidden/>
    <w:rsid w:val="00D31593"/>
    <w:rPr>
      <w:rFonts w:cstheme="minorBidi"/>
      <w:b/>
      <w:bCs/>
      <w:sz w:val="20"/>
      <w:szCs w:val="20"/>
      <w:lang w:val="en-GB"/>
    </w:rPr>
  </w:style>
  <w:style w:type="paragraph" w:styleId="BalloonText">
    <w:name w:val="Balloon Text"/>
    <w:basedOn w:val="Normal"/>
    <w:link w:val="BalloonTextChar"/>
    <w:uiPriority w:val="99"/>
    <w:semiHidden/>
    <w:unhideWhenUsed/>
    <w:rsid w:val="00D31593"/>
    <w:rPr>
      <w:rFonts w:ascii="Tahoma" w:hAnsi="Tahoma" w:cs="Tahoma"/>
      <w:sz w:val="16"/>
      <w:szCs w:val="16"/>
    </w:rPr>
  </w:style>
  <w:style w:type="character" w:customStyle="1" w:styleId="BalloonTextChar">
    <w:name w:val="Balloon Text Char"/>
    <w:basedOn w:val="DefaultParagraphFont"/>
    <w:link w:val="BalloonText"/>
    <w:uiPriority w:val="99"/>
    <w:semiHidden/>
    <w:rsid w:val="00D31593"/>
    <w:rPr>
      <w:rFonts w:ascii="Tahoma" w:hAnsi="Tahoma" w:cs="Tahoma"/>
      <w:sz w:val="16"/>
      <w:szCs w:val="16"/>
      <w:lang w:val="en-GB"/>
    </w:rPr>
  </w:style>
  <w:style w:type="paragraph" w:customStyle="1" w:styleId="ClauseHeading0">
    <w:name w:val="Clause Heading"/>
    <w:basedOn w:val="Normal"/>
    <w:next w:val="Normal"/>
    <w:rsid w:val="00245CE2"/>
    <w:pPr>
      <w:widowControl w:val="0"/>
      <w:tabs>
        <w:tab w:val="left" w:pos="851"/>
      </w:tabs>
    </w:pPr>
    <w:rPr>
      <w:rFonts w:eastAsia="Times New Roman" w:cs="Times New Roman"/>
      <w:b/>
      <w:sz w:val="20"/>
      <w:szCs w:val="20"/>
    </w:rPr>
  </w:style>
  <w:style w:type="paragraph" w:customStyle="1" w:styleId="FSTitle">
    <w:name w:val="FS Title"/>
    <w:basedOn w:val="Normal"/>
    <w:qFormat/>
    <w:rsid w:val="008A0A88"/>
    <w:pPr>
      <w:widowControl w:val="0"/>
    </w:pPr>
    <w:rPr>
      <w:rFonts w:eastAsia="Times New Roman" w:cs="Tahoma"/>
      <w:bCs/>
      <w:sz w:val="32"/>
      <w:szCs w:val="24"/>
      <w:lang w:bidi="en-US"/>
    </w:rPr>
  </w:style>
  <w:style w:type="character" w:styleId="PageNumber">
    <w:name w:val="page number"/>
    <w:basedOn w:val="DefaultParagraphFont"/>
    <w:rsid w:val="008A0A88"/>
    <w:rPr>
      <w:rFonts w:ascii="Arial" w:hAnsi="Arial"/>
    </w:rPr>
  </w:style>
  <w:style w:type="character" w:styleId="FootnoteReference">
    <w:name w:val="footnote reference"/>
    <w:basedOn w:val="DefaultParagraphFont"/>
    <w:uiPriority w:val="99"/>
    <w:semiHidden/>
    <w:unhideWhenUsed/>
    <w:rsid w:val="00AA22C3"/>
    <w:rPr>
      <w:vertAlign w:val="superscript"/>
    </w:rPr>
  </w:style>
  <w:style w:type="paragraph" w:customStyle="1" w:styleId="Paragraph1st">
    <w:name w:val="Paragraph 1st"/>
    <w:basedOn w:val="Clause"/>
    <w:next w:val="Paragraph2ff"/>
    <w:rsid w:val="003E21D2"/>
    <w:pPr>
      <w:tabs>
        <w:tab w:val="clear" w:pos="851"/>
      </w:tabs>
      <w:spacing w:before="240"/>
      <w:ind w:left="1702" w:hanging="851"/>
    </w:pPr>
    <w:rPr>
      <w:rFonts w:ascii="Times" w:hAnsi="Times" w:cs="Times"/>
      <w:sz w:val="24"/>
      <w:lang w:val="en-NZ" w:eastAsia="en-NZ"/>
    </w:rPr>
  </w:style>
  <w:style w:type="paragraph" w:customStyle="1" w:styleId="Paragraph2ff">
    <w:name w:val="Paragraph 2ff"/>
    <w:basedOn w:val="Paragraph1st"/>
    <w:rsid w:val="003E21D2"/>
    <w:pPr>
      <w:spacing w:before="0"/>
    </w:pPr>
  </w:style>
  <w:style w:type="paragraph" w:customStyle="1" w:styleId="Decision">
    <w:name w:val="Decision"/>
    <w:basedOn w:val="Normal"/>
    <w:rsid w:val="00BD76BC"/>
    <w:rPr>
      <w:rFonts w:ascii="Times New Roman" w:eastAsia="Times New Roman" w:hAnsi="Times New Roman" w:cs="Times New Roman"/>
      <w:b/>
      <w:sz w:val="24"/>
      <w:szCs w:val="20"/>
    </w:rPr>
  </w:style>
  <w:style w:type="paragraph" w:styleId="TOC2">
    <w:name w:val="toc 2"/>
    <w:basedOn w:val="Normal"/>
    <w:next w:val="Normal"/>
    <w:autoRedefine/>
    <w:uiPriority w:val="39"/>
    <w:unhideWhenUsed/>
    <w:rsid w:val="00AD29BD"/>
    <w:pPr>
      <w:spacing w:after="60"/>
      <w:ind w:left="788" w:right="284" w:hanging="567"/>
    </w:pPr>
    <w:rPr>
      <w:smallCaps/>
      <w:szCs w:val="20"/>
    </w:rPr>
  </w:style>
  <w:style w:type="paragraph" w:styleId="TOC1">
    <w:name w:val="toc 1"/>
    <w:basedOn w:val="Normal"/>
    <w:next w:val="Normal"/>
    <w:autoRedefine/>
    <w:uiPriority w:val="39"/>
    <w:unhideWhenUsed/>
    <w:rsid w:val="00AD29BD"/>
    <w:pPr>
      <w:spacing w:before="120" w:after="120"/>
    </w:pPr>
    <w:rPr>
      <w:b/>
      <w:bCs/>
      <w:caps/>
      <w:szCs w:val="20"/>
    </w:rPr>
  </w:style>
  <w:style w:type="paragraph" w:styleId="TOC3">
    <w:name w:val="toc 3"/>
    <w:basedOn w:val="Normal"/>
    <w:next w:val="Normal"/>
    <w:autoRedefine/>
    <w:uiPriority w:val="39"/>
    <w:unhideWhenUsed/>
    <w:rsid w:val="00AD29BD"/>
    <w:pPr>
      <w:spacing w:after="120"/>
      <w:ind w:left="442" w:right="284"/>
    </w:pPr>
    <w:rPr>
      <w:i/>
      <w:iCs/>
      <w:sz w:val="20"/>
      <w:szCs w:val="20"/>
    </w:rPr>
  </w:style>
  <w:style w:type="paragraph" w:styleId="TOC4">
    <w:name w:val="toc 4"/>
    <w:basedOn w:val="Normal"/>
    <w:next w:val="Normal"/>
    <w:autoRedefine/>
    <w:uiPriority w:val="39"/>
    <w:unhideWhenUsed/>
    <w:rsid w:val="00F379DB"/>
    <w:pPr>
      <w:ind w:left="660"/>
    </w:pPr>
    <w:rPr>
      <w:rFonts w:asciiTheme="minorHAnsi" w:hAnsiTheme="minorHAnsi"/>
      <w:sz w:val="18"/>
      <w:szCs w:val="18"/>
    </w:rPr>
  </w:style>
  <w:style w:type="paragraph" w:styleId="TOC5">
    <w:name w:val="toc 5"/>
    <w:basedOn w:val="Normal"/>
    <w:next w:val="Normal"/>
    <w:autoRedefine/>
    <w:uiPriority w:val="39"/>
    <w:unhideWhenUsed/>
    <w:rsid w:val="00F379DB"/>
    <w:pPr>
      <w:ind w:left="880"/>
    </w:pPr>
    <w:rPr>
      <w:rFonts w:asciiTheme="minorHAnsi" w:hAnsiTheme="minorHAnsi"/>
      <w:sz w:val="18"/>
      <w:szCs w:val="18"/>
    </w:rPr>
  </w:style>
  <w:style w:type="paragraph" w:styleId="TOC6">
    <w:name w:val="toc 6"/>
    <w:basedOn w:val="Normal"/>
    <w:next w:val="Normal"/>
    <w:autoRedefine/>
    <w:uiPriority w:val="39"/>
    <w:unhideWhenUsed/>
    <w:rsid w:val="00F379DB"/>
    <w:pPr>
      <w:ind w:left="1100"/>
    </w:pPr>
    <w:rPr>
      <w:rFonts w:asciiTheme="minorHAnsi" w:hAnsiTheme="minorHAnsi"/>
      <w:sz w:val="18"/>
      <w:szCs w:val="18"/>
    </w:rPr>
  </w:style>
  <w:style w:type="paragraph" w:styleId="TOC7">
    <w:name w:val="toc 7"/>
    <w:basedOn w:val="Normal"/>
    <w:next w:val="Normal"/>
    <w:autoRedefine/>
    <w:uiPriority w:val="39"/>
    <w:unhideWhenUsed/>
    <w:rsid w:val="00F379DB"/>
    <w:pPr>
      <w:ind w:left="1320"/>
    </w:pPr>
    <w:rPr>
      <w:rFonts w:asciiTheme="minorHAnsi" w:hAnsiTheme="minorHAnsi"/>
      <w:sz w:val="18"/>
      <w:szCs w:val="18"/>
    </w:rPr>
  </w:style>
  <w:style w:type="paragraph" w:styleId="TOC8">
    <w:name w:val="toc 8"/>
    <w:basedOn w:val="Normal"/>
    <w:next w:val="Normal"/>
    <w:autoRedefine/>
    <w:uiPriority w:val="39"/>
    <w:unhideWhenUsed/>
    <w:rsid w:val="00F379DB"/>
    <w:pPr>
      <w:ind w:left="1540"/>
    </w:pPr>
    <w:rPr>
      <w:rFonts w:asciiTheme="minorHAnsi" w:hAnsiTheme="minorHAnsi"/>
      <w:sz w:val="18"/>
      <w:szCs w:val="18"/>
    </w:rPr>
  </w:style>
  <w:style w:type="paragraph" w:styleId="TOC9">
    <w:name w:val="toc 9"/>
    <w:basedOn w:val="Normal"/>
    <w:next w:val="Normal"/>
    <w:autoRedefine/>
    <w:uiPriority w:val="39"/>
    <w:unhideWhenUsed/>
    <w:rsid w:val="00F379DB"/>
    <w:pPr>
      <w:ind w:left="1760"/>
    </w:pPr>
    <w:rPr>
      <w:rFonts w:asciiTheme="minorHAnsi" w:hAnsiTheme="minorHAnsi"/>
      <w:sz w:val="18"/>
      <w:szCs w:val="18"/>
    </w:rPr>
  </w:style>
  <w:style w:type="character" w:styleId="Hyperlink">
    <w:name w:val="Hyperlink"/>
    <w:basedOn w:val="DefaultParagraphFont"/>
    <w:uiPriority w:val="99"/>
    <w:unhideWhenUsed/>
    <w:rsid w:val="00F379DB"/>
    <w:rPr>
      <w:color w:val="0000FF" w:themeColor="hyperlink"/>
      <w:u w:val="single"/>
    </w:rPr>
  </w:style>
  <w:style w:type="paragraph" w:styleId="BodyText">
    <w:name w:val="Body Text"/>
    <w:basedOn w:val="Normal"/>
    <w:link w:val="BodyTextChar"/>
    <w:semiHidden/>
    <w:rsid w:val="00582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Pr>
      <w:rFonts w:ascii="Times New Roman" w:eastAsia="Times New Roman" w:hAnsi="Times New Roman" w:cs="Times New Roman"/>
      <w:i/>
      <w:color w:val="000000"/>
      <w:sz w:val="24"/>
      <w:szCs w:val="20"/>
      <w:lang w:val="en-US"/>
    </w:rPr>
  </w:style>
  <w:style w:type="character" w:customStyle="1" w:styleId="BodyTextChar">
    <w:name w:val="Body Text Char"/>
    <w:basedOn w:val="DefaultParagraphFont"/>
    <w:link w:val="BodyText"/>
    <w:semiHidden/>
    <w:rsid w:val="005820C3"/>
    <w:rPr>
      <w:rFonts w:ascii="Times New Roman" w:eastAsia="Times New Roman" w:hAnsi="Times New Roman" w:cs="Times New Roman"/>
      <w:i/>
      <w:color w:val="000000"/>
      <w:sz w:val="24"/>
      <w:szCs w:val="20"/>
      <w:lang w:val="en-US"/>
    </w:rPr>
  </w:style>
  <w:style w:type="paragraph" w:styleId="NormalWeb">
    <w:name w:val="Normal (Web)"/>
    <w:basedOn w:val="Normal"/>
    <w:uiPriority w:val="99"/>
    <w:semiHidden/>
    <w:unhideWhenUsed/>
    <w:rsid w:val="008D5732"/>
    <w:pPr>
      <w:spacing w:before="100" w:beforeAutospacing="1" w:after="100" w:afterAutospacing="1"/>
    </w:pPr>
    <w:rPr>
      <w:rFonts w:ascii="Times New Roman" w:eastAsia="Times New Roman" w:hAnsi="Times New Roman" w:cs="Times New Roman"/>
      <w:sz w:val="24"/>
      <w:szCs w:val="24"/>
      <w:lang w:val="en-NZ" w:eastAsia="en-NZ"/>
    </w:rPr>
  </w:style>
  <w:style w:type="paragraph" w:customStyle="1" w:styleId="alignleft">
    <w:name w:val="alignleft"/>
    <w:basedOn w:val="Normal"/>
    <w:rsid w:val="005D5F80"/>
    <w:pPr>
      <w:spacing w:before="100" w:beforeAutospacing="1" w:after="100" w:afterAutospacing="1"/>
    </w:pPr>
    <w:rPr>
      <w:rFonts w:ascii="Times New Roman" w:eastAsia="Times New Roman" w:hAnsi="Times New Roman" w:cs="Times New Roman"/>
      <w:sz w:val="24"/>
      <w:szCs w:val="24"/>
      <w:lang w:val="en-NZ" w:eastAsia="en-NZ"/>
    </w:rPr>
  </w:style>
  <w:style w:type="character" w:styleId="Emphasis">
    <w:name w:val="Emphasis"/>
    <w:basedOn w:val="DefaultParagraphFont"/>
    <w:uiPriority w:val="20"/>
    <w:qFormat/>
    <w:rsid w:val="005D5F80"/>
    <w:rPr>
      <w:i/>
      <w:iCs/>
    </w:rPr>
  </w:style>
  <w:style w:type="paragraph" w:styleId="Revision">
    <w:name w:val="Revision"/>
    <w:hidden/>
    <w:uiPriority w:val="99"/>
    <w:semiHidden/>
    <w:rsid w:val="00371314"/>
    <w:rPr>
      <w:rFonts w:cstheme="minorBidi"/>
      <w:lang w:val="en-GB"/>
    </w:rPr>
  </w:style>
  <w:style w:type="character" w:styleId="FollowedHyperlink">
    <w:name w:val="FollowedHyperlink"/>
    <w:basedOn w:val="DefaultParagraphFont"/>
    <w:uiPriority w:val="99"/>
    <w:semiHidden/>
    <w:unhideWhenUsed/>
    <w:rsid w:val="008560CE"/>
    <w:rPr>
      <w:color w:val="800080" w:themeColor="followedHyperlink"/>
      <w:u w:val="single"/>
    </w:rPr>
  </w:style>
  <w:style w:type="character" w:customStyle="1" w:styleId="ms-rtefontsize-21">
    <w:name w:val="ms-rtefontsize-21"/>
    <w:basedOn w:val="DefaultParagraphFont"/>
    <w:rsid w:val="00BB5F81"/>
    <w:rPr>
      <w:sz w:val="20"/>
      <w:szCs w:val="20"/>
    </w:rPr>
  </w:style>
  <w:style w:type="paragraph" w:customStyle="1" w:styleId="ISCbulleted">
    <w:name w:val="ISC bulleted"/>
    <w:basedOn w:val="Normal"/>
    <w:rsid w:val="0078378A"/>
    <w:pPr>
      <w:numPr>
        <w:numId w:val="36"/>
      </w:numPr>
      <w:tabs>
        <w:tab w:val="left" w:pos="567"/>
      </w:tabs>
      <w:spacing w:after="120"/>
    </w:pPr>
    <w:rPr>
      <w:rFonts w:ascii="Times New Roman" w:eastAsia="Times New Roman" w:hAnsi="Times New Roman" w:cs="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9C37D3"/>
    <w:pPr>
      <w:keepNext/>
      <w:spacing w:before="240" w:after="240"/>
      <w:ind w:left="851" w:hanging="851"/>
      <w:outlineLvl w:val="1"/>
    </w:pPr>
    <w:rPr>
      <w:rFonts w:eastAsiaTheme="majorEastAsia" w:cs="Arial"/>
      <w:b/>
      <w:bCs/>
      <w:sz w:val="28"/>
      <w:szCs w:val="28"/>
    </w:rPr>
  </w:style>
  <w:style w:type="paragraph" w:styleId="Heading3">
    <w:name w:val="heading 3"/>
    <w:aliases w:val="FSHeading 3,Subheading 1"/>
    <w:basedOn w:val="Normal"/>
    <w:next w:val="Normal"/>
    <w:link w:val="Heading3Char"/>
    <w:autoRedefine/>
    <w:uiPriority w:val="2"/>
    <w:unhideWhenUsed/>
    <w:qFormat/>
    <w:rsid w:val="009C37D3"/>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9C37D3"/>
    <w:rPr>
      <w:rFonts w:eastAsiaTheme="majorEastAsia"/>
      <w:b/>
      <w:bCs/>
      <w:sz w:val="28"/>
      <w:szCs w:val="28"/>
      <w:lang w:val="en-GB"/>
    </w:rPr>
  </w:style>
  <w:style w:type="character" w:customStyle="1" w:styleId="Heading3Char">
    <w:name w:val="Heading 3 Char"/>
    <w:aliases w:val="FSHeading 3 Char,Subheading 1 Char"/>
    <w:basedOn w:val="DefaultParagraphFont"/>
    <w:link w:val="Heading3"/>
    <w:uiPriority w:val="2"/>
    <w:rsid w:val="009C37D3"/>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link w:val="Table2Char"/>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rPr>
  </w:style>
  <w:style w:type="paragraph" w:customStyle="1" w:styleId="Clauseheading">
    <w:name w:val="Clause heading"/>
    <w:basedOn w:val="Normal"/>
    <w:next w:val="Normal"/>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numPr>
        <w:numId w:val="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nhideWhenUsed/>
    <w:qFormat/>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link w:val="ParagraphChar"/>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qFormat/>
    <w:rsid w:val="00C019A6"/>
    <w:pPr>
      <w:ind w:left="567" w:hanging="567"/>
    </w:pPr>
  </w:style>
  <w:style w:type="paragraph" w:customStyle="1" w:styleId="Subparagraph">
    <w:name w:val="Subparagraph"/>
    <w:basedOn w:val="Paragraph"/>
    <w:next w:val="Normal"/>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table" w:styleId="TableGrid">
    <w:name w:val="Table Grid"/>
    <w:basedOn w:val="TableNormal"/>
    <w:uiPriority w:val="59"/>
    <w:rsid w:val="00EA5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Char">
    <w:name w:val="Paragraph Char"/>
    <w:basedOn w:val="ClauseChar"/>
    <w:link w:val="Paragraph"/>
    <w:rsid w:val="00FB2E96"/>
    <w:rPr>
      <w:rFonts w:eastAsia="Times New Roman" w:cs="Times New Roman"/>
      <w:sz w:val="20"/>
      <w:szCs w:val="20"/>
      <w:lang w:val="en-GB"/>
    </w:rPr>
  </w:style>
  <w:style w:type="character" w:customStyle="1" w:styleId="Table2Char">
    <w:name w:val="Table 2 Char"/>
    <w:link w:val="Table2"/>
    <w:rsid w:val="00041997"/>
    <w:rPr>
      <w:rFonts w:eastAsia="Times New Roman" w:cs="Times New Roman"/>
      <w:bCs/>
      <w:sz w:val="18"/>
      <w:szCs w:val="20"/>
      <w:lang w:val="en-GB"/>
    </w:rPr>
  </w:style>
  <w:style w:type="character" w:styleId="CommentReference">
    <w:name w:val="annotation reference"/>
    <w:basedOn w:val="DefaultParagraphFont"/>
    <w:unhideWhenUsed/>
    <w:rsid w:val="00D31593"/>
    <w:rPr>
      <w:sz w:val="16"/>
      <w:szCs w:val="16"/>
    </w:rPr>
  </w:style>
  <w:style w:type="paragraph" w:styleId="CommentText">
    <w:name w:val="annotation text"/>
    <w:basedOn w:val="Normal"/>
    <w:link w:val="CommentTextChar"/>
    <w:unhideWhenUsed/>
    <w:rsid w:val="00D31593"/>
    <w:rPr>
      <w:sz w:val="20"/>
      <w:szCs w:val="20"/>
    </w:rPr>
  </w:style>
  <w:style w:type="character" w:customStyle="1" w:styleId="CommentTextChar">
    <w:name w:val="Comment Text Char"/>
    <w:basedOn w:val="DefaultParagraphFont"/>
    <w:link w:val="CommentText"/>
    <w:rsid w:val="00D31593"/>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D31593"/>
    <w:rPr>
      <w:b/>
      <w:bCs/>
    </w:rPr>
  </w:style>
  <w:style w:type="character" w:customStyle="1" w:styleId="CommentSubjectChar">
    <w:name w:val="Comment Subject Char"/>
    <w:basedOn w:val="CommentTextChar"/>
    <w:link w:val="CommentSubject"/>
    <w:uiPriority w:val="99"/>
    <w:semiHidden/>
    <w:rsid w:val="00D31593"/>
    <w:rPr>
      <w:rFonts w:cstheme="minorBidi"/>
      <w:b/>
      <w:bCs/>
      <w:sz w:val="20"/>
      <w:szCs w:val="20"/>
      <w:lang w:val="en-GB"/>
    </w:rPr>
  </w:style>
  <w:style w:type="paragraph" w:styleId="BalloonText">
    <w:name w:val="Balloon Text"/>
    <w:basedOn w:val="Normal"/>
    <w:link w:val="BalloonTextChar"/>
    <w:uiPriority w:val="99"/>
    <w:semiHidden/>
    <w:unhideWhenUsed/>
    <w:rsid w:val="00D31593"/>
    <w:rPr>
      <w:rFonts w:ascii="Tahoma" w:hAnsi="Tahoma" w:cs="Tahoma"/>
      <w:sz w:val="16"/>
      <w:szCs w:val="16"/>
    </w:rPr>
  </w:style>
  <w:style w:type="character" w:customStyle="1" w:styleId="BalloonTextChar">
    <w:name w:val="Balloon Text Char"/>
    <w:basedOn w:val="DefaultParagraphFont"/>
    <w:link w:val="BalloonText"/>
    <w:uiPriority w:val="99"/>
    <w:semiHidden/>
    <w:rsid w:val="00D31593"/>
    <w:rPr>
      <w:rFonts w:ascii="Tahoma" w:hAnsi="Tahoma" w:cs="Tahoma"/>
      <w:sz w:val="16"/>
      <w:szCs w:val="16"/>
      <w:lang w:val="en-GB"/>
    </w:rPr>
  </w:style>
  <w:style w:type="paragraph" w:customStyle="1" w:styleId="ClauseHeading0">
    <w:name w:val="Clause Heading"/>
    <w:basedOn w:val="Normal"/>
    <w:next w:val="Normal"/>
    <w:rsid w:val="00245CE2"/>
    <w:pPr>
      <w:widowControl w:val="0"/>
      <w:tabs>
        <w:tab w:val="left" w:pos="851"/>
      </w:tabs>
    </w:pPr>
    <w:rPr>
      <w:rFonts w:eastAsia="Times New Roman" w:cs="Times New Roman"/>
      <w:b/>
      <w:sz w:val="20"/>
      <w:szCs w:val="20"/>
    </w:rPr>
  </w:style>
  <w:style w:type="paragraph" w:customStyle="1" w:styleId="FSTitle">
    <w:name w:val="FS Title"/>
    <w:basedOn w:val="Normal"/>
    <w:qFormat/>
    <w:rsid w:val="008A0A88"/>
    <w:pPr>
      <w:widowControl w:val="0"/>
    </w:pPr>
    <w:rPr>
      <w:rFonts w:eastAsia="Times New Roman" w:cs="Tahoma"/>
      <w:bCs/>
      <w:sz w:val="32"/>
      <w:szCs w:val="24"/>
      <w:lang w:bidi="en-US"/>
    </w:rPr>
  </w:style>
  <w:style w:type="character" w:styleId="PageNumber">
    <w:name w:val="page number"/>
    <w:basedOn w:val="DefaultParagraphFont"/>
    <w:rsid w:val="008A0A88"/>
    <w:rPr>
      <w:rFonts w:ascii="Arial" w:hAnsi="Arial"/>
    </w:rPr>
  </w:style>
  <w:style w:type="character" w:styleId="FootnoteReference">
    <w:name w:val="footnote reference"/>
    <w:basedOn w:val="DefaultParagraphFont"/>
    <w:uiPriority w:val="99"/>
    <w:semiHidden/>
    <w:unhideWhenUsed/>
    <w:rsid w:val="00AA22C3"/>
    <w:rPr>
      <w:vertAlign w:val="superscript"/>
    </w:rPr>
  </w:style>
  <w:style w:type="paragraph" w:customStyle="1" w:styleId="Paragraph1st">
    <w:name w:val="Paragraph 1st"/>
    <w:basedOn w:val="Clause"/>
    <w:next w:val="Paragraph2ff"/>
    <w:rsid w:val="003E21D2"/>
    <w:pPr>
      <w:tabs>
        <w:tab w:val="clear" w:pos="851"/>
      </w:tabs>
      <w:spacing w:before="240"/>
      <w:ind w:left="1702" w:hanging="851"/>
    </w:pPr>
    <w:rPr>
      <w:rFonts w:ascii="Times" w:hAnsi="Times" w:cs="Times"/>
      <w:sz w:val="24"/>
      <w:lang w:val="en-NZ" w:eastAsia="en-NZ"/>
    </w:rPr>
  </w:style>
  <w:style w:type="paragraph" w:customStyle="1" w:styleId="Paragraph2ff">
    <w:name w:val="Paragraph 2ff"/>
    <w:basedOn w:val="Paragraph1st"/>
    <w:rsid w:val="003E21D2"/>
    <w:pPr>
      <w:spacing w:before="0"/>
    </w:pPr>
  </w:style>
  <w:style w:type="paragraph" w:customStyle="1" w:styleId="Decision">
    <w:name w:val="Decision"/>
    <w:basedOn w:val="Normal"/>
    <w:rsid w:val="00BD76BC"/>
    <w:rPr>
      <w:rFonts w:ascii="Times New Roman" w:eastAsia="Times New Roman" w:hAnsi="Times New Roman" w:cs="Times New Roman"/>
      <w:b/>
      <w:sz w:val="24"/>
      <w:szCs w:val="20"/>
    </w:rPr>
  </w:style>
  <w:style w:type="paragraph" w:styleId="TOC2">
    <w:name w:val="toc 2"/>
    <w:basedOn w:val="Normal"/>
    <w:next w:val="Normal"/>
    <w:autoRedefine/>
    <w:uiPriority w:val="39"/>
    <w:unhideWhenUsed/>
    <w:rsid w:val="00AD29BD"/>
    <w:pPr>
      <w:spacing w:after="60"/>
      <w:ind w:left="788" w:right="284" w:hanging="567"/>
    </w:pPr>
    <w:rPr>
      <w:smallCaps/>
      <w:szCs w:val="20"/>
    </w:rPr>
  </w:style>
  <w:style w:type="paragraph" w:styleId="TOC1">
    <w:name w:val="toc 1"/>
    <w:basedOn w:val="Normal"/>
    <w:next w:val="Normal"/>
    <w:autoRedefine/>
    <w:uiPriority w:val="39"/>
    <w:unhideWhenUsed/>
    <w:rsid w:val="00AD29BD"/>
    <w:pPr>
      <w:spacing w:before="120" w:after="120"/>
    </w:pPr>
    <w:rPr>
      <w:b/>
      <w:bCs/>
      <w:caps/>
      <w:szCs w:val="20"/>
    </w:rPr>
  </w:style>
  <w:style w:type="paragraph" w:styleId="TOC3">
    <w:name w:val="toc 3"/>
    <w:basedOn w:val="Normal"/>
    <w:next w:val="Normal"/>
    <w:autoRedefine/>
    <w:uiPriority w:val="39"/>
    <w:unhideWhenUsed/>
    <w:rsid w:val="00AD29BD"/>
    <w:pPr>
      <w:spacing w:after="120"/>
      <w:ind w:left="442" w:right="284"/>
    </w:pPr>
    <w:rPr>
      <w:i/>
      <w:iCs/>
      <w:sz w:val="20"/>
      <w:szCs w:val="20"/>
    </w:rPr>
  </w:style>
  <w:style w:type="paragraph" w:styleId="TOC4">
    <w:name w:val="toc 4"/>
    <w:basedOn w:val="Normal"/>
    <w:next w:val="Normal"/>
    <w:autoRedefine/>
    <w:uiPriority w:val="39"/>
    <w:unhideWhenUsed/>
    <w:rsid w:val="00F379DB"/>
    <w:pPr>
      <w:ind w:left="660"/>
    </w:pPr>
    <w:rPr>
      <w:rFonts w:asciiTheme="minorHAnsi" w:hAnsiTheme="minorHAnsi"/>
      <w:sz w:val="18"/>
      <w:szCs w:val="18"/>
    </w:rPr>
  </w:style>
  <w:style w:type="paragraph" w:styleId="TOC5">
    <w:name w:val="toc 5"/>
    <w:basedOn w:val="Normal"/>
    <w:next w:val="Normal"/>
    <w:autoRedefine/>
    <w:uiPriority w:val="39"/>
    <w:unhideWhenUsed/>
    <w:rsid w:val="00F379DB"/>
    <w:pPr>
      <w:ind w:left="880"/>
    </w:pPr>
    <w:rPr>
      <w:rFonts w:asciiTheme="minorHAnsi" w:hAnsiTheme="minorHAnsi"/>
      <w:sz w:val="18"/>
      <w:szCs w:val="18"/>
    </w:rPr>
  </w:style>
  <w:style w:type="paragraph" w:styleId="TOC6">
    <w:name w:val="toc 6"/>
    <w:basedOn w:val="Normal"/>
    <w:next w:val="Normal"/>
    <w:autoRedefine/>
    <w:uiPriority w:val="39"/>
    <w:unhideWhenUsed/>
    <w:rsid w:val="00F379DB"/>
    <w:pPr>
      <w:ind w:left="1100"/>
    </w:pPr>
    <w:rPr>
      <w:rFonts w:asciiTheme="minorHAnsi" w:hAnsiTheme="minorHAnsi"/>
      <w:sz w:val="18"/>
      <w:szCs w:val="18"/>
    </w:rPr>
  </w:style>
  <w:style w:type="paragraph" w:styleId="TOC7">
    <w:name w:val="toc 7"/>
    <w:basedOn w:val="Normal"/>
    <w:next w:val="Normal"/>
    <w:autoRedefine/>
    <w:uiPriority w:val="39"/>
    <w:unhideWhenUsed/>
    <w:rsid w:val="00F379DB"/>
    <w:pPr>
      <w:ind w:left="1320"/>
    </w:pPr>
    <w:rPr>
      <w:rFonts w:asciiTheme="minorHAnsi" w:hAnsiTheme="minorHAnsi"/>
      <w:sz w:val="18"/>
      <w:szCs w:val="18"/>
    </w:rPr>
  </w:style>
  <w:style w:type="paragraph" w:styleId="TOC8">
    <w:name w:val="toc 8"/>
    <w:basedOn w:val="Normal"/>
    <w:next w:val="Normal"/>
    <w:autoRedefine/>
    <w:uiPriority w:val="39"/>
    <w:unhideWhenUsed/>
    <w:rsid w:val="00F379DB"/>
    <w:pPr>
      <w:ind w:left="1540"/>
    </w:pPr>
    <w:rPr>
      <w:rFonts w:asciiTheme="minorHAnsi" w:hAnsiTheme="minorHAnsi"/>
      <w:sz w:val="18"/>
      <w:szCs w:val="18"/>
    </w:rPr>
  </w:style>
  <w:style w:type="paragraph" w:styleId="TOC9">
    <w:name w:val="toc 9"/>
    <w:basedOn w:val="Normal"/>
    <w:next w:val="Normal"/>
    <w:autoRedefine/>
    <w:uiPriority w:val="39"/>
    <w:unhideWhenUsed/>
    <w:rsid w:val="00F379DB"/>
    <w:pPr>
      <w:ind w:left="1760"/>
    </w:pPr>
    <w:rPr>
      <w:rFonts w:asciiTheme="minorHAnsi" w:hAnsiTheme="minorHAnsi"/>
      <w:sz w:val="18"/>
      <w:szCs w:val="18"/>
    </w:rPr>
  </w:style>
  <w:style w:type="character" w:styleId="Hyperlink">
    <w:name w:val="Hyperlink"/>
    <w:basedOn w:val="DefaultParagraphFont"/>
    <w:uiPriority w:val="99"/>
    <w:unhideWhenUsed/>
    <w:rsid w:val="00F379DB"/>
    <w:rPr>
      <w:color w:val="0000FF" w:themeColor="hyperlink"/>
      <w:u w:val="single"/>
    </w:rPr>
  </w:style>
  <w:style w:type="paragraph" w:styleId="BodyText">
    <w:name w:val="Body Text"/>
    <w:basedOn w:val="Normal"/>
    <w:link w:val="BodyTextChar"/>
    <w:semiHidden/>
    <w:rsid w:val="00582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Pr>
      <w:rFonts w:ascii="Times New Roman" w:eastAsia="Times New Roman" w:hAnsi="Times New Roman" w:cs="Times New Roman"/>
      <w:i/>
      <w:color w:val="000000"/>
      <w:sz w:val="24"/>
      <w:szCs w:val="20"/>
      <w:lang w:val="en-US"/>
    </w:rPr>
  </w:style>
  <w:style w:type="character" w:customStyle="1" w:styleId="BodyTextChar">
    <w:name w:val="Body Text Char"/>
    <w:basedOn w:val="DefaultParagraphFont"/>
    <w:link w:val="BodyText"/>
    <w:semiHidden/>
    <w:rsid w:val="005820C3"/>
    <w:rPr>
      <w:rFonts w:ascii="Times New Roman" w:eastAsia="Times New Roman" w:hAnsi="Times New Roman" w:cs="Times New Roman"/>
      <w:i/>
      <w:color w:val="000000"/>
      <w:sz w:val="24"/>
      <w:szCs w:val="20"/>
      <w:lang w:val="en-US"/>
    </w:rPr>
  </w:style>
  <w:style w:type="paragraph" w:styleId="NormalWeb">
    <w:name w:val="Normal (Web)"/>
    <w:basedOn w:val="Normal"/>
    <w:uiPriority w:val="99"/>
    <w:semiHidden/>
    <w:unhideWhenUsed/>
    <w:rsid w:val="008D5732"/>
    <w:pPr>
      <w:spacing w:before="100" w:beforeAutospacing="1" w:after="100" w:afterAutospacing="1"/>
    </w:pPr>
    <w:rPr>
      <w:rFonts w:ascii="Times New Roman" w:eastAsia="Times New Roman" w:hAnsi="Times New Roman" w:cs="Times New Roman"/>
      <w:sz w:val="24"/>
      <w:szCs w:val="24"/>
      <w:lang w:val="en-NZ" w:eastAsia="en-NZ"/>
    </w:rPr>
  </w:style>
  <w:style w:type="paragraph" w:customStyle="1" w:styleId="alignleft">
    <w:name w:val="alignleft"/>
    <w:basedOn w:val="Normal"/>
    <w:rsid w:val="005D5F80"/>
    <w:pPr>
      <w:spacing w:before="100" w:beforeAutospacing="1" w:after="100" w:afterAutospacing="1"/>
    </w:pPr>
    <w:rPr>
      <w:rFonts w:ascii="Times New Roman" w:eastAsia="Times New Roman" w:hAnsi="Times New Roman" w:cs="Times New Roman"/>
      <w:sz w:val="24"/>
      <w:szCs w:val="24"/>
      <w:lang w:val="en-NZ" w:eastAsia="en-NZ"/>
    </w:rPr>
  </w:style>
  <w:style w:type="character" w:styleId="Emphasis">
    <w:name w:val="Emphasis"/>
    <w:basedOn w:val="DefaultParagraphFont"/>
    <w:uiPriority w:val="20"/>
    <w:qFormat/>
    <w:rsid w:val="005D5F80"/>
    <w:rPr>
      <w:i/>
      <w:iCs/>
    </w:rPr>
  </w:style>
  <w:style w:type="paragraph" w:styleId="Revision">
    <w:name w:val="Revision"/>
    <w:hidden/>
    <w:uiPriority w:val="99"/>
    <w:semiHidden/>
    <w:rsid w:val="00371314"/>
    <w:rPr>
      <w:rFonts w:cstheme="minorBidi"/>
      <w:lang w:val="en-GB"/>
    </w:rPr>
  </w:style>
  <w:style w:type="character" w:styleId="FollowedHyperlink">
    <w:name w:val="FollowedHyperlink"/>
    <w:basedOn w:val="DefaultParagraphFont"/>
    <w:uiPriority w:val="99"/>
    <w:semiHidden/>
    <w:unhideWhenUsed/>
    <w:rsid w:val="008560CE"/>
    <w:rPr>
      <w:color w:val="800080" w:themeColor="followedHyperlink"/>
      <w:u w:val="single"/>
    </w:rPr>
  </w:style>
  <w:style w:type="character" w:customStyle="1" w:styleId="ms-rtefontsize-21">
    <w:name w:val="ms-rtefontsize-21"/>
    <w:basedOn w:val="DefaultParagraphFont"/>
    <w:rsid w:val="00BB5F81"/>
    <w:rPr>
      <w:sz w:val="20"/>
      <w:szCs w:val="20"/>
    </w:rPr>
  </w:style>
  <w:style w:type="paragraph" w:customStyle="1" w:styleId="ISCbulleted">
    <w:name w:val="ISC bulleted"/>
    <w:basedOn w:val="Normal"/>
    <w:rsid w:val="0078378A"/>
    <w:pPr>
      <w:numPr>
        <w:numId w:val="36"/>
      </w:numPr>
      <w:tabs>
        <w:tab w:val="left" w:pos="567"/>
      </w:tabs>
      <w:spacing w:after="120"/>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918">
      <w:bodyDiv w:val="1"/>
      <w:marLeft w:val="0"/>
      <w:marRight w:val="0"/>
      <w:marTop w:val="0"/>
      <w:marBottom w:val="0"/>
      <w:divBdr>
        <w:top w:val="none" w:sz="0" w:space="0" w:color="auto"/>
        <w:left w:val="none" w:sz="0" w:space="0" w:color="auto"/>
        <w:bottom w:val="none" w:sz="0" w:space="0" w:color="auto"/>
        <w:right w:val="none" w:sz="0" w:space="0" w:color="auto"/>
      </w:divBdr>
    </w:div>
    <w:div w:id="126440691">
      <w:bodyDiv w:val="1"/>
      <w:marLeft w:val="0"/>
      <w:marRight w:val="0"/>
      <w:marTop w:val="0"/>
      <w:marBottom w:val="0"/>
      <w:divBdr>
        <w:top w:val="none" w:sz="0" w:space="0" w:color="auto"/>
        <w:left w:val="none" w:sz="0" w:space="0" w:color="auto"/>
        <w:bottom w:val="none" w:sz="0" w:space="0" w:color="auto"/>
        <w:right w:val="none" w:sz="0" w:space="0" w:color="auto"/>
      </w:divBdr>
    </w:div>
    <w:div w:id="589697993">
      <w:bodyDiv w:val="1"/>
      <w:marLeft w:val="0"/>
      <w:marRight w:val="0"/>
      <w:marTop w:val="0"/>
      <w:marBottom w:val="0"/>
      <w:divBdr>
        <w:top w:val="none" w:sz="0" w:space="0" w:color="auto"/>
        <w:left w:val="none" w:sz="0" w:space="0" w:color="auto"/>
        <w:bottom w:val="none" w:sz="0" w:space="0" w:color="auto"/>
        <w:right w:val="none" w:sz="0" w:space="0" w:color="auto"/>
      </w:divBdr>
      <w:divsChild>
        <w:div w:id="516776207">
          <w:marLeft w:val="0"/>
          <w:marRight w:val="0"/>
          <w:marTop w:val="0"/>
          <w:marBottom w:val="0"/>
          <w:divBdr>
            <w:top w:val="none" w:sz="0" w:space="0" w:color="auto"/>
            <w:left w:val="none" w:sz="0" w:space="0" w:color="auto"/>
            <w:bottom w:val="none" w:sz="0" w:space="0" w:color="auto"/>
            <w:right w:val="none" w:sz="0" w:space="0" w:color="auto"/>
          </w:divBdr>
          <w:divsChild>
            <w:div w:id="177738567">
              <w:marLeft w:val="0"/>
              <w:marRight w:val="0"/>
              <w:marTop w:val="0"/>
              <w:marBottom w:val="0"/>
              <w:divBdr>
                <w:top w:val="none" w:sz="0" w:space="0" w:color="auto"/>
                <w:left w:val="none" w:sz="0" w:space="0" w:color="auto"/>
                <w:bottom w:val="none" w:sz="0" w:space="0" w:color="auto"/>
                <w:right w:val="none" w:sz="0" w:space="0" w:color="auto"/>
              </w:divBdr>
              <w:divsChild>
                <w:div w:id="1922175818">
                  <w:marLeft w:val="0"/>
                  <w:marRight w:val="0"/>
                  <w:marTop w:val="0"/>
                  <w:marBottom w:val="0"/>
                  <w:divBdr>
                    <w:top w:val="none" w:sz="0" w:space="0" w:color="auto"/>
                    <w:left w:val="none" w:sz="0" w:space="0" w:color="auto"/>
                    <w:bottom w:val="none" w:sz="0" w:space="0" w:color="auto"/>
                    <w:right w:val="none" w:sz="0" w:space="0" w:color="auto"/>
                  </w:divBdr>
                  <w:divsChild>
                    <w:div w:id="14787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463621">
      <w:bodyDiv w:val="1"/>
      <w:marLeft w:val="0"/>
      <w:marRight w:val="0"/>
      <w:marTop w:val="0"/>
      <w:marBottom w:val="0"/>
      <w:divBdr>
        <w:top w:val="none" w:sz="0" w:space="0" w:color="auto"/>
        <w:left w:val="none" w:sz="0" w:space="0" w:color="auto"/>
        <w:bottom w:val="none" w:sz="0" w:space="0" w:color="auto"/>
        <w:right w:val="none" w:sz="0" w:space="0" w:color="auto"/>
      </w:divBdr>
    </w:div>
    <w:div w:id="959455115">
      <w:bodyDiv w:val="1"/>
      <w:marLeft w:val="0"/>
      <w:marRight w:val="0"/>
      <w:marTop w:val="0"/>
      <w:marBottom w:val="0"/>
      <w:divBdr>
        <w:top w:val="none" w:sz="0" w:space="0" w:color="auto"/>
        <w:left w:val="none" w:sz="0" w:space="0" w:color="auto"/>
        <w:bottom w:val="none" w:sz="0" w:space="0" w:color="auto"/>
        <w:right w:val="none" w:sz="0" w:space="0" w:color="auto"/>
      </w:divBdr>
      <w:divsChild>
        <w:div w:id="99836886">
          <w:marLeft w:val="0"/>
          <w:marRight w:val="0"/>
          <w:marTop w:val="0"/>
          <w:marBottom w:val="0"/>
          <w:divBdr>
            <w:top w:val="none" w:sz="0" w:space="0" w:color="auto"/>
            <w:left w:val="none" w:sz="0" w:space="0" w:color="auto"/>
            <w:bottom w:val="none" w:sz="0" w:space="0" w:color="auto"/>
            <w:right w:val="none" w:sz="0" w:space="0" w:color="auto"/>
          </w:divBdr>
          <w:divsChild>
            <w:div w:id="14819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529">
      <w:bodyDiv w:val="1"/>
      <w:marLeft w:val="0"/>
      <w:marRight w:val="0"/>
      <w:marTop w:val="0"/>
      <w:marBottom w:val="0"/>
      <w:divBdr>
        <w:top w:val="none" w:sz="0" w:space="0" w:color="auto"/>
        <w:left w:val="none" w:sz="0" w:space="0" w:color="auto"/>
        <w:bottom w:val="none" w:sz="0" w:space="0" w:color="auto"/>
        <w:right w:val="none" w:sz="0" w:space="0" w:color="auto"/>
      </w:divBdr>
      <w:divsChild>
        <w:div w:id="1955675956">
          <w:marLeft w:val="0"/>
          <w:marRight w:val="0"/>
          <w:marTop w:val="0"/>
          <w:marBottom w:val="0"/>
          <w:divBdr>
            <w:top w:val="none" w:sz="0" w:space="0" w:color="auto"/>
            <w:left w:val="none" w:sz="0" w:space="0" w:color="auto"/>
            <w:bottom w:val="none" w:sz="0" w:space="0" w:color="auto"/>
            <w:right w:val="none" w:sz="0" w:space="0" w:color="auto"/>
          </w:divBdr>
          <w:divsChild>
            <w:div w:id="1692030611">
              <w:marLeft w:val="0"/>
              <w:marRight w:val="0"/>
              <w:marTop w:val="0"/>
              <w:marBottom w:val="0"/>
              <w:divBdr>
                <w:top w:val="none" w:sz="0" w:space="0" w:color="auto"/>
                <w:left w:val="none" w:sz="0" w:space="0" w:color="auto"/>
                <w:bottom w:val="none" w:sz="0" w:space="0" w:color="auto"/>
                <w:right w:val="none" w:sz="0" w:space="0" w:color="auto"/>
              </w:divBdr>
              <w:divsChild>
                <w:div w:id="765269089">
                  <w:marLeft w:val="0"/>
                  <w:marRight w:val="0"/>
                  <w:marTop w:val="0"/>
                  <w:marBottom w:val="0"/>
                  <w:divBdr>
                    <w:top w:val="none" w:sz="0" w:space="0" w:color="auto"/>
                    <w:left w:val="none" w:sz="0" w:space="0" w:color="auto"/>
                    <w:bottom w:val="none" w:sz="0" w:space="0" w:color="auto"/>
                    <w:right w:val="none" w:sz="0" w:space="0" w:color="auto"/>
                  </w:divBdr>
                  <w:divsChild>
                    <w:div w:id="1769082332">
                      <w:marLeft w:val="0"/>
                      <w:marRight w:val="0"/>
                      <w:marTop w:val="0"/>
                      <w:marBottom w:val="0"/>
                      <w:divBdr>
                        <w:top w:val="none" w:sz="0" w:space="0" w:color="auto"/>
                        <w:left w:val="none" w:sz="0" w:space="0" w:color="auto"/>
                        <w:bottom w:val="none" w:sz="0" w:space="0" w:color="auto"/>
                        <w:right w:val="none" w:sz="0" w:space="0" w:color="auto"/>
                      </w:divBdr>
                      <w:divsChild>
                        <w:div w:id="1921597584">
                          <w:marLeft w:val="0"/>
                          <w:marRight w:val="0"/>
                          <w:marTop w:val="0"/>
                          <w:marBottom w:val="0"/>
                          <w:divBdr>
                            <w:top w:val="none" w:sz="0" w:space="0" w:color="auto"/>
                            <w:left w:val="none" w:sz="0" w:space="0" w:color="auto"/>
                            <w:bottom w:val="none" w:sz="0" w:space="0" w:color="auto"/>
                            <w:right w:val="none" w:sz="0" w:space="0" w:color="auto"/>
                          </w:divBdr>
                          <w:divsChild>
                            <w:div w:id="1221670492">
                              <w:marLeft w:val="0"/>
                              <w:marRight w:val="0"/>
                              <w:marTop w:val="0"/>
                              <w:marBottom w:val="0"/>
                              <w:divBdr>
                                <w:top w:val="none" w:sz="0" w:space="0" w:color="auto"/>
                                <w:left w:val="none" w:sz="0" w:space="0" w:color="auto"/>
                                <w:bottom w:val="none" w:sz="0" w:space="0" w:color="auto"/>
                                <w:right w:val="none" w:sz="0" w:space="0" w:color="auto"/>
                              </w:divBdr>
                              <w:divsChild>
                                <w:div w:id="18445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66276">
      <w:bodyDiv w:val="1"/>
      <w:marLeft w:val="0"/>
      <w:marRight w:val="0"/>
      <w:marTop w:val="0"/>
      <w:marBottom w:val="0"/>
      <w:divBdr>
        <w:top w:val="none" w:sz="0" w:space="0" w:color="auto"/>
        <w:left w:val="none" w:sz="0" w:space="0" w:color="auto"/>
        <w:bottom w:val="none" w:sz="0" w:space="0" w:color="auto"/>
        <w:right w:val="none" w:sz="0" w:space="0" w:color="auto"/>
      </w:divBdr>
      <w:divsChild>
        <w:div w:id="1799447401">
          <w:marLeft w:val="0"/>
          <w:marRight w:val="0"/>
          <w:marTop w:val="0"/>
          <w:marBottom w:val="0"/>
          <w:divBdr>
            <w:top w:val="none" w:sz="0" w:space="0" w:color="auto"/>
            <w:left w:val="none" w:sz="0" w:space="0" w:color="auto"/>
            <w:bottom w:val="none" w:sz="0" w:space="0" w:color="auto"/>
            <w:right w:val="none" w:sz="0" w:space="0" w:color="auto"/>
          </w:divBdr>
          <w:divsChild>
            <w:div w:id="357511224">
              <w:marLeft w:val="0"/>
              <w:marRight w:val="0"/>
              <w:marTop w:val="0"/>
              <w:marBottom w:val="0"/>
              <w:divBdr>
                <w:top w:val="none" w:sz="0" w:space="0" w:color="auto"/>
                <w:left w:val="none" w:sz="0" w:space="0" w:color="auto"/>
                <w:bottom w:val="none" w:sz="0" w:space="0" w:color="auto"/>
                <w:right w:val="none" w:sz="0" w:space="0" w:color="auto"/>
              </w:divBdr>
              <w:divsChild>
                <w:div w:id="243032381">
                  <w:marLeft w:val="0"/>
                  <w:marRight w:val="0"/>
                  <w:marTop w:val="0"/>
                  <w:marBottom w:val="0"/>
                  <w:divBdr>
                    <w:top w:val="none" w:sz="0" w:space="0" w:color="auto"/>
                    <w:left w:val="none" w:sz="0" w:space="0" w:color="auto"/>
                    <w:bottom w:val="none" w:sz="0" w:space="0" w:color="auto"/>
                    <w:right w:val="none" w:sz="0" w:space="0" w:color="auto"/>
                  </w:divBdr>
                  <w:divsChild>
                    <w:div w:id="4178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260124">
      <w:bodyDiv w:val="1"/>
      <w:marLeft w:val="0"/>
      <w:marRight w:val="0"/>
      <w:marTop w:val="0"/>
      <w:marBottom w:val="0"/>
      <w:divBdr>
        <w:top w:val="none" w:sz="0" w:space="0" w:color="auto"/>
        <w:left w:val="none" w:sz="0" w:space="0" w:color="auto"/>
        <w:bottom w:val="none" w:sz="0" w:space="0" w:color="auto"/>
        <w:right w:val="none" w:sz="0" w:space="0" w:color="auto"/>
      </w:divBdr>
    </w:div>
    <w:div w:id="1560050039">
      <w:bodyDiv w:val="1"/>
      <w:marLeft w:val="0"/>
      <w:marRight w:val="0"/>
      <w:marTop w:val="0"/>
      <w:marBottom w:val="0"/>
      <w:divBdr>
        <w:top w:val="none" w:sz="0" w:space="0" w:color="auto"/>
        <w:left w:val="none" w:sz="0" w:space="0" w:color="auto"/>
        <w:bottom w:val="none" w:sz="0" w:space="0" w:color="auto"/>
        <w:right w:val="none" w:sz="0" w:space="0" w:color="auto"/>
      </w:divBdr>
    </w:div>
    <w:div w:id="1693527231">
      <w:bodyDiv w:val="1"/>
      <w:marLeft w:val="0"/>
      <w:marRight w:val="0"/>
      <w:marTop w:val="0"/>
      <w:marBottom w:val="0"/>
      <w:divBdr>
        <w:top w:val="none" w:sz="0" w:space="0" w:color="auto"/>
        <w:left w:val="none" w:sz="0" w:space="0" w:color="auto"/>
        <w:bottom w:val="none" w:sz="0" w:space="0" w:color="auto"/>
        <w:right w:val="none" w:sz="0" w:space="0" w:color="auto"/>
      </w:divBdr>
    </w:div>
    <w:div w:id="1786578576">
      <w:bodyDiv w:val="1"/>
      <w:marLeft w:val="0"/>
      <w:marRight w:val="0"/>
      <w:marTop w:val="0"/>
      <w:marBottom w:val="0"/>
      <w:divBdr>
        <w:top w:val="none" w:sz="0" w:space="0" w:color="auto"/>
        <w:left w:val="none" w:sz="0" w:space="0" w:color="auto"/>
        <w:bottom w:val="none" w:sz="0" w:space="0" w:color="auto"/>
        <w:right w:val="none" w:sz="0" w:space="0" w:color="auto"/>
      </w:divBdr>
      <w:divsChild>
        <w:div w:id="1472675457">
          <w:marLeft w:val="0"/>
          <w:marRight w:val="0"/>
          <w:marTop w:val="0"/>
          <w:marBottom w:val="0"/>
          <w:divBdr>
            <w:top w:val="none" w:sz="0" w:space="0" w:color="auto"/>
            <w:left w:val="none" w:sz="0" w:space="0" w:color="auto"/>
            <w:bottom w:val="none" w:sz="0" w:space="0" w:color="auto"/>
            <w:right w:val="none" w:sz="0" w:space="0" w:color="auto"/>
          </w:divBdr>
          <w:divsChild>
            <w:div w:id="1064065252">
              <w:marLeft w:val="0"/>
              <w:marRight w:val="0"/>
              <w:marTop w:val="0"/>
              <w:marBottom w:val="0"/>
              <w:divBdr>
                <w:top w:val="none" w:sz="0" w:space="0" w:color="auto"/>
                <w:left w:val="none" w:sz="0" w:space="0" w:color="auto"/>
                <w:bottom w:val="none" w:sz="0" w:space="0" w:color="auto"/>
                <w:right w:val="none" w:sz="0" w:space="0" w:color="auto"/>
              </w:divBdr>
              <w:divsChild>
                <w:div w:id="410738553">
                  <w:marLeft w:val="0"/>
                  <w:marRight w:val="0"/>
                  <w:marTop w:val="0"/>
                  <w:marBottom w:val="0"/>
                  <w:divBdr>
                    <w:top w:val="none" w:sz="0" w:space="0" w:color="auto"/>
                    <w:left w:val="none" w:sz="0" w:space="0" w:color="auto"/>
                    <w:bottom w:val="none" w:sz="0" w:space="0" w:color="auto"/>
                    <w:right w:val="none" w:sz="0" w:space="0" w:color="auto"/>
                  </w:divBdr>
                  <w:divsChild>
                    <w:div w:id="18294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federalregister.gov/a/2016-1186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who.int/nutrition/publications/guidelines/sugars_intake/en/" TargetMode="External"/><Relationship Id="rId1" Type="http://schemas.openxmlformats.org/officeDocument/2006/relationships/customXml" Target="../customXml/item1.xml"/><Relationship Id="rId11" Type="http://schemas.openxmlformats.org/officeDocument/2006/relationships/settings" Target="settings.xml"/><Relationship Id="rId28" Type="http://schemas.microsoft.com/office/2011/relationships/commentsExtended" Target="commentsExtended.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hyperlink" Target="http://www.gazette.gc.ca/rp-pr/p1/2015/2015-06-13/html/reg1-eng.php" TargetMode="External"/><Relationship Id="rId27" Type="http://schemas.microsoft.com/office/2011/relationships/people" Target="people.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6A2225825375D044B6FC42BB278B7ADF" ma:contentTypeVersion="37" ma:contentTypeDescription="FSANZ Record" ma:contentTypeScope="" ma:versionID="45453f48dac6887883d5cf9134db48c3">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2734b2b3395ff114ebdf2c62547ea4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7D5D19-4B88-42D8-B56A-CAD4735BB223}"/>
</file>

<file path=customXml/itemProps2.xml><?xml version="1.0" encoding="utf-8"?>
<ds:datastoreItem xmlns:ds="http://schemas.openxmlformats.org/officeDocument/2006/customXml" ds:itemID="{6612A42E-7065-42C5-A876-DB8C26890883}"/>
</file>

<file path=customXml/itemProps3.xml><?xml version="1.0" encoding="utf-8"?>
<ds:datastoreItem xmlns:ds="http://schemas.openxmlformats.org/officeDocument/2006/customXml" ds:itemID="{2370BFDD-9169-4562-BB71-3A191B8E3C40}"/>
</file>

<file path=customXml/itemProps4.xml><?xml version="1.0" encoding="utf-8"?>
<ds:datastoreItem xmlns:ds="http://schemas.openxmlformats.org/officeDocument/2006/customXml" ds:itemID="{6612A42E-7065-42C5-A876-DB8C26890883}"/>
</file>

<file path=customXml/itemProps5.xml><?xml version="1.0" encoding="utf-8"?>
<ds:datastoreItem xmlns:ds="http://schemas.openxmlformats.org/officeDocument/2006/customXml" ds:itemID="{BBB43E7C-404E-4181-9278-1D915C887866}"/>
</file>

<file path=customXml/itemProps6.xml><?xml version="1.0" encoding="utf-8"?>
<ds:datastoreItem xmlns:ds="http://schemas.openxmlformats.org/officeDocument/2006/customXml" ds:itemID="{132D7964-1DFC-47CD-A5BB-85D6DC7F4F06}"/>
</file>

<file path=customXml/itemProps7.xml><?xml version="1.0" encoding="utf-8"?>
<ds:datastoreItem xmlns:ds="http://schemas.openxmlformats.org/officeDocument/2006/customXml" ds:itemID="{740DBF44-83C9-4F34-B141-A80CB01B38EF}"/>
</file>

<file path=docProps/app.xml><?xml version="1.0" encoding="utf-8"?>
<Properties xmlns="http://schemas.openxmlformats.org/officeDocument/2006/extended-properties" xmlns:vt="http://schemas.openxmlformats.org/officeDocument/2006/docPropsVTypes">
  <Template>Normal</Template>
  <TotalTime>10840</TotalTime>
  <Pages>18</Pages>
  <Words>5987</Words>
  <Characters>34126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Labelling Review 12 Supporting document - Regulatory implications</vt:lpstr>
    </vt:vector>
  </TitlesOfParts>
  <Company>Foodstandards</Company>
  <LinksUpToDate>false</LinksUpToDate>
  <CharactersWithSpaces>40033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Labelling Review 12 Supporting document - Regulatory implications</dc:title>
  <dc:creator>fitzrm</dc:creator>
  <cp:keywords/>
  <cp:lastModifiedBy>tritta</cp:lastModifiedBy>
  <cp:revision>1745</cp:revision>
  <cp:lastPrinted>2016-05-18T22:43:00Z</cp:lastPrinted>
  <dcterms:created xsi:type="dcterms:W3CDTF">2015-04-29T05:32:00Z</dcterms:created>
  <dcterms:modified xsi:type="dcterms:W3CDTF">2016-11-29T21:18:00Z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0x010100406C1AB8B9B40142BF14D99A2F841452</vt:lpwstr>
  </property>
  <property fmtid="{D5CDD505-2E9C-101B-9397-08002B2CF9AE}" pid="3" name="DisposalClass">
    <vt:lpwstr/>
  </property>
  <property fmtid="{D5CDD505-2E9C-101B-9397-08002B2CF9AE}" pid="4" name="BCS_">
    <vt:lpwstr>35;#Evaluation|43bd8487-b9f6-4055-946c-a118d364275d</vt:lpwstr>
  </property>
  <property fmtid="{D5CDD505-2E9C-101B-9397-08002B2CF9AE}" pid="5" name="_dlc_DocIdItemGuid">
    <vt:lpwstr>7524d8b8-ce5c-467a-be5e-1642adf52af7</vt:lpwstr>
  </property>
  <property fmtid="{D5CDD505-2E9C-101B-9397-08002B2CF9AE}" pid="6" name="SPPCopyMoveEvent">
    <vt:lpwstr>0</vt:lpwstr>
  </property>
</Properties>
</file>